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7059" w14:textId="77777777" w:rsidR="00B20ADB" w:rsidRDefault="00B20ADB" w:rsidP="00202696">
      <w:pPr>
        <w:autoSpaceDE w:val="0"/>
        <w:autoSpaceDN w:val="0"/>
        <w:adjustRightInd w:val="0"/>
        <w:spacing w:after="240"/>
        <w:rPr>
          <w:sz w:val="22"/>
          <w:szCs w:val="22"/>
        </w:rPr>
      </w:pPr>
    </w:p>
    <w:p w14:paraId="3734D620" w14:textId="1FD1B559" w:rsidR="007467F6" w:rsidRDefault="00EA0AF8" w:rsidP="00202696">
      <w:pPr>
        <w:autoSpaceDE w:val="0"/>
        <w:autoSpaceDN w:val="0"/>
        <w:adjustRightInd w:val="0"/>
        <w:spacing w:after="240"/>
        <w:rPr>
          <w:color w:val="FF0000"/>
          <w:sz w:val="22"/>
          <w:szCs w:val="22"/>
        </w:rPr>
      </w:pPr>
      <w:r w:rsidRPr="00E419B9">
        <w:rPr>
          <w:color w:val="FF0000"/>
          <w:sz w:val="22"/>
          <w:szCs w:val="22"/>
        </w:rPr>
        <w:t>[</w:t>
      </w:r>
      <w:r w:rsidR="00B20ADB" w:rsidRPr="00E419B9">
        <w:rPr>
          <w:color w:val="FF0000"/>
          <w:sz w:val="22"/>
          <w:szCs w:val="22"/>
        </w:rPr>
        <w:t>Date</w:t>
      </w:r>
      <w:r w:rsidRPr="00E419B9">
        <w:rPr>
          <w:color w:val="FF0000"/>
          <w:sz w:val="22"/>
          <w:szCs w:val="22"/>
        </w:rPr>
        <w:t>]</w:t>
      </w:r>
    </w:p>
    <w:p w14:paraId="4B26E209" w14:textId="48CFECB8" w:rsidR="002028C1" w:rsidRPr="002028C1" w:rsidRDefault="002028C1" w:rsidP="00202696">
      <w:pPr>
        <w:autoSpaceDE w:val="0"/>
        <w:autoSpaceDN w:val="0"/>
        <w:adjustRightInd w:val="0"/>
        <w:spacing w:after="240"/>
        <w:rPr>
          <w:sz w:val="22"/>
          <w:szCs w:val="22"/>
        </w:rPr>
      </w:pPr>
      <w:r w:rsidRPr="002028C1">
        <w:rPr>
          <w:sz w:val="22"/>
          <w:szCs w:val="22"/>
        </w:rPr>
        <w:t>Attn: Appeals Department</w:t>
      </w:r>
    </w:p>
    <w:p w14:paraId="2ECFA0AC" w14:textId="71EF998D" w:rsidR="00B20ADB" w:rsidRPr="00E419B9" w:rsidRDefault="00EA0AF8" w:rsidP="00B20ADB">
      <w:pPr>
        <w:rPr>
          <w:color w:val="FF0000"/>
          <w:sz w:val="22"/>
          <w:szCs w:val="22"/>
        </w:rPr>
      </w:pPr>
      <w:r w:rsidRPr="00E419B9">
        <w:rPr>
          <w:color w:val="FF0000"/>
          <w:sz w:val="22"/>
          <w:szCs w:val="22"/>
        </w:rPr>
        <w:t>[</w:t>
      </w:r>
      <w:r w:rsidR="00B20ADB" w:rsidRPr="00E419B9">
        <w:rPr>
          <w:color w:val="FF0000"/>
          <w:sz w:val="22"/>
          <w:szCs w:val="22"/>
        </w:rPr>
        <w:t>Payer Name</w:t>
      </w:r>
      <w:r w:rsidRPr="00E419B9">
        <w:rPr>
          <w:color w:val="FF0000"/>
          <w:sz w:val="22"/>
          <w:szCs w:val="22"/>
        </w:rPr>
        <w:t>]</w:t>
      </w:r>
    </w:p>
    <w:p w14:paraId="00E05DAF" w14:textId="13820CCD" w:rsidR="00B20ADB" w:rsidRDefault="00EA0AF8" w:rsidP="00B20ADB">
      <w:pPr>
        <w:rPr>
          <w:color w:val="FF0000"/>
          <w:sz w:val="22"/>
          <w:szCs w:val="22"/>
        </w:rPr>
      </w:pPr>
      <w:r w:rsidRPr="00E419B9">
        <w:rPr>
          <w:color w:val="FF0000"/>
          <w:sz w:val="22"/>
          <w:szCs w:val="22"/>
        </w:rPr>
        <w:t>[</w:t>
      </w:r>
      <w:r w:rsidR="00B20ADB" w:rsidRPr="00E419B9">
        <w:rPr>
          <w:color w:val="FF0000"/>
          <w:sz w:val="22"/>
          <w:szCs w:val="22"/>
        </w:rPr>
        <w:t xml:space="preserve">Payer </w:t>
      </w:r>
      <w:r w:rsidR="00CE784E">
        <w:rPr>
          <w:color w:val="FF0000"/>
          <w:sz w:val="22"/>
          <w:szCs w:val="22"/>
        </w:rPr>
        <w:t xml:space="preserve">Street </w:t>
      </w:r>
      <w:r w:rsidR="00B20ADB" w:rsidRPr="00E419B9">
        <w:rPr>
          <w:color w:val="FF0000"/>
          <w:sz w:val="22"/>
          <w:szCs w:val="22"/>
        </w:rPr>
        <w:t>Address</w:t>
      </w:r>
      <w:r w:rsidRPr="00E419B9">
        <w:rPr>
          <w:color w:val="FF0000"/>
          <w:sz w:val="22"/>
          <w:szCs w:val="22"/>
        </w:rPr>
        <w:t>]</w:t>
      </w:r>
    </w:p>
    <w:p w14:paraId="38E10D92" w14:textId="530EE92F" w:rsidR="00CE784E" w:rsidRPr="00E419B9" w:rsidRDefault="00CE784E" w:rsidP="00CE784E">
      <w:pPr>
        <w:rPr>
          <w:color w:val="FF0000"/>
          <w:sz w:val="22"/>
          <w:szCs w:val="22"/>
        </w:rPr>
      </w:pPr>
      <w:r w:rsidRPr="00E419B9">
        <w:rPr>
          <w:color w:val="FF0000"/>
          <w:sz w:val="22"/>
          <w:szCs w:val="22"/>
        </w:rPr>
        <w:t>[</w:t>
      </w:r>
      <w:r>
        <w:rPr>
          <w:color w:val="FF0000"/>
          <w:sz w:val="22"/>
          <w:szCs w:val="22"/>
        </w:rPr>
        <w:t xml:space="preserve">Payer </w:t>
      </w:r>
      <w:r w:rsidRPr="00E419B9">
        <w:rPr>
          <w:color w:val="FF0000"/>
          <w:sz w:val="22"/>
          <w:szCs w:val="22"/>
        </w:rPr>
        <w:t>City, State Zip]</w:t>
      </w:r>
    </w:p>
    <w:p w14:paraId="1E718722" w14:textId="77777777" w:rsidR="00CE784E" w:rsidRPr="00E419B9" w:rsidRDefault="00CE784E" w:rsidP="00B20ADB">
      <w:pPr>
        <w:rPr>
          <w:color w:val="FF0000"/>
          <w:sz w:val="22"/>
          <w:szCs w:val="22"/>
        </w:rPr>
      </w:pPr>
    </w:p>
    <w:p w14:paraId="08F0713A" w14:textId="77777777" w:rsidR="00B20ADB" w:rsidRPr="00496C57" w:rsidRDefault="00B20ADB" w:rsidP="00B20ADB">
      <w:pPr>
        <w:rPr>
          <w:sz w:val="22"/>
          <w:szCs w:val="22"/>
        </w:rPr>
      </w:pPr>
    </w:p>
    <w:p w14:paraId="791F750F" w14:textId="47D63D46" w:rsidR="00B20ADB" w:rsidRDefault="007467F6" w:rsidP="007467F6">
      <w:pPr>
        <w:autoSpaceDE w:val="0"/>
        <w:autoSpaceDN w:val="0"/>
        <w:adjustRightInd w:val="0"/>
        <w:rPr>
          <w:color w:val="FF0000"/>
          <w:sz w:val="22"/>
          <w:szCs w:val="22"/>
        </w:rPr>
      </w:pPr>
      <w:r w:rsidRPr="00496C57">
        <w:rPr>
          <w:sz w:val="22"/>
          <w:szCs w:val="22"/>
        </w:rPr>
        <w:t xml:space="preserve">Re: </w:t>
      </w:r>
      <w:r w:rsidR="00B20ADB" w:rsidRPr="00496C57">
        <w:rPr>
          <w:sz w:val="22"/>
          <w:szCs w:val="22"/>
        </w:rPr>
        <w:tab/>
      </w:r>
      <w:r w:rsidR="00EA0AF8" w:rsidRPr="00E419B9">
        <w:rPr>
          <w:color w:val="FF0000"/>
          <w:sz w:val="22"/>
          <w:szCs w:val="22"/>
        </w:rPr>
        <w:t>[</w:t>
      </w:r>
      <w:r w:rsidR="00B20ADB" w:rsidRPr="00E419B9">
        <w:rPr>
          <w:color w:val="FF0000"/>
          <w:sz w:val="22"/>
          <w:szCs w:val="22"/>
        </w:rPr>
        <w:t xml:space="preserve">Patient </w:t>
      </w:r>
      <w:r w:rsidR="00CE784E">
        <w:rPr>
          <w:color w:val="FF0000"/>
          <w:sz w:val="22"/>
          <w:szCs w:val="22"/>
        </w:rPr>
        <w:t xml:space="preserve">Full </w:t>
      </w:r>
      <w:r w:rsidR="00B20ADB" w:rsidRPr="00E419B9">
        <w:rPr>
          <w:color w:val="FF0000"/>
          <w:sz w:val="22"/>
          <w:szCs w:val="22"/>
        </w:rPr>
        <w:t>Name</w:t>
      </w:r>
      <w:r w:rsidR="00EA0AF8" w:rsidRPr="00E419B9">
        <w:rPr>
          <w:color w:val="FF0000"/>
          <w:sz w:val="22"/>
          <w:szCs w:val="22"/>
        </w:rPr>
        <w:t>]</w:t>
      </w:r>
    </w:p>
    <w:p w14:paraId="00F99255" w14:textId="291AD211" w:rsidR="00CE784E" w:rsidRDefault="00CE784E" w:rsidP="00CE784E">
      <w:pPr>
        <w:autoSpaceDE w:val="0"/>
        <w:autoSpaceDN w:val="0"/>
        <w:adjustRightInd w:val="0"/>
        <w:ind w:firstLine="720"/>
        <w:rPr>
          <w:color w:val="FF0000"/>
          <w:sz w:val="22"/>
          <w:szCs w:val="22"/>
        </w:rPr>
      </w:pPr>
      <w:r>
        <w:rPr>
          <w:color w:val="FF0000"/>
          <w:sz w:val="22"/>
          <w:szCs w:val="22"/>
        </w:rPr>
        <w:t>[Patient Date of Birth]</w:t>
      </w:r>
    </w:p>
    <w:p w14:paraId="04F9AEBF" w14:textId="33E3A8B4" w:rsidR="00CE784E" w:rsidRPr="00E419B9" w:rsidRDefault="00CE784E" w:rsidP="00CE784E">
      <w:pPr>
        <w:autoSpaceDE w:val="0"/>
        <w:autoSpaceDN w:val="0"/>
        <w:adjustRightInd w:val="0"/>
        <w:ind w:firstLine="720"/>
        <w:rPr>
          <w:color w:val="FF0000"/>
          <w:sz w:val="22"/>
          <w:szCs w:val="22"/>
        </w:rPr>
      </w:pPr>
      <w:r>
        <w:rPr>
          <w:color w:val="FF0000"/>
          <w:sz w:val="22"/>
          <w:szCs w:val="22"/>
        </w:rPr>
        <w:t>[Patient Member ID]</w:t>
      </w:r>
    </w:p>
    <w:p w14:paraId="49D6A7DA" w14:textId="0389211E"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Patient Policy</w:t>
      </w:r>
      <w:r w:rsidR="00CE784E">
        <w:rPr>
          <w:color w:val="FF0000"/>
          <w:sz w:val="22"/>
          <w:szCs w:val="22"/>
        </w:rPr>
        <w:t>/Group</w:t>
      </w:r>
      <w:r w:rsidRPr="00E419B9">
        <w:rPr>
          <w:color w:val="FF0000"/>
          <w:sz w:val="22"/>
          <w:szCs w:val="22"/>
        </w:rPr>
        <w:t xml:space="preserve"> Number</w:t>
      </w:r>
      <w:r w:rsidR="00EA0AF8" w:rsidRPr="00E419B9">
        <w:rPr>
          <w:color w:val="FF0000"/>
          <w:sz w:val="22"/>
          <w:szCs w:val="22"/>
        </w:rPr>
        <w:t>]</w:t>
      </w:r>
    </w:p>
    <w:p w14:paraId="1BC3E816" w14:textId="59FAEA61" w:rsidR="00B20ADB"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00CE784E">
        <w:rPr>
          <w:color w:val="FF0000"/>
          <w:sz w:val="22"/>
          <w:szCs w:val="22"/>
        </w:rPr>
        <w:t xml:space="preserve">Prior Authorization or </w:t>
      </w:r>
      <w:r w:rsidRPr="00E419B9">
        <w:rPr>
          <w:color w:val="FF0000"/>
          <w:sz w:val="22"/>
          <w:szCs w:val="22"/>
        </w:rPr>
        <w:t>Claim Number</w:t>
      </w:r>
      <w:r w:rsidR="00EA0AF8" w:rsidRPr="00E419B9">
        <w:rPr>
          <w:color w:val="FF0000"/>
          <w:sz w:val="22"/>
          <w:szCs w:val="22"/>
        </w:rPr>
        <w:t>]</w:t>
      </w:r>
    </w:p>
    <w:p w14:paraId="09FE829A" w14:textId="4873CCFA" w:rsidR="00CE784E" w:rsidRPr="00E419B9" w:rsidRDefault="00CE784E" w:rsidP="00CE784E">
      <w:pPr>
        <w:autoSpaceDE w:val="0"/>
        <w:autoSpaceDN w:val="0"/>
        <w:adjustRightInd w:val="0"/>
        <w:ind w:firstLine="720"/>
        <w:rPr>
          <w:color w:val="FF0000"/>
          <w:sz w:val="22"/>
          <w:szCs w:val="22"/>
        </w:rPr>
      </w:pPr>
      <w:r>
        <w:rPr>
          <w:color w:val="FF0000"/>
          <w:sz w:val="22"/>
          <w:szCs w:val="22"/>
        </w:rPr>
        <w:t>[Patient Diagnosis/ICD-10]</w:t>
      </w:r>
    </w:p>
    <w:p w14:paraId="483CFB87" w14:textId="3AA7FCC7"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Date(s) of Service</w:t>
      </w:r>
      <w:r w:rsidR="00EA0AF8" w:rsidRPr="00E419B9">
        <w:rPr>
          <w:color w:val="FF0000"/>
          <w:sz w:val="22"/>
          <w:szCs w:val="22"/>
        </w:rPr>
        <w:t>]</w:t>
      </w:r>
    </w:p>
    <w:p w14:paraId="103E0EE0" w14:textId="1EB53765" w:rsidR="007467F6" w:rsidRPr="00496C57" w:rsidRDefault="00CE784E" w:rsidP="007467F6">
      <w:pPr>
        <w:autoSpaceDE w:val="0"/>
        <w:autoSpaceDN w:val="0"/>
        <w:adjustRightInd w:val="0"/>
        <w:rPr>
          <w:sz w:val="22"/>
          <w:szCs w:val="22"/>
        </w:rPr>
      </w:pPr>
      <w:r>
        <w:rPr>
          <w:sz w:val="22"/>
          <w:szCs w:val="22"/>
        </w:rPr>
        <w:tab/>
      </w:r>
      <w:r>
        <w:rPr>
          <w:sz w:val="22"/>
          <w:szCs w:val="22"/>
        </w:rPr>
        <w:tab/>
      </w:r>
    </w:p>
    <w:p w14:paraId="43140B20" w14:textId="4C89F3C8" w:rsidR="007467F6" w:rsidRPr="00496C57" w:rsidRDefault="00E419B9" w:rsidP="007467F6">
      <w:pPr>
        <w:autoSpaceDE w:val="0"/>
        <w:autoSpaceDN w:val="0"/>
        <w:adjustRightInd w:val="0"/>
        <w:rPr>
          <w:sz w:val="22"/>
          <w:szCs w:val="22"/>
        </w:rPr>
      </w:pPr>
      <w:r>
        <w:rPr>
          <w:sz w:val="22"/>
          <w:szCs w:val="22"/>
        </w:rPr>
        <w:t xml:space="preserve">To Whom </w:t>
      </w:r>
      <w:r w:rsidR="00ED7E1A">
        <w:rPr>
          <w:sz w:val="22"/>
          <w:szCs w:val="22"/>
        </w:rPr>
        <w:t>I</w:t>
      </w:r>
      <w:r>
        <w:rPr>
          <w:sz w:val="22"/>
          <w:szCs w:val="22"/>
        </w:rPr>
        <w:t>t May Concern</w:t>
      </w:r>
      <w:r w:rsidR="007467F6" w:rsidRPr="00496C57">
        <w:rPr>
          <w:sz w:val="22"/>
          <w:szCs w:val="22"/>
        </w:rPr>
        <w:t>:</w:t>
      </w:r>
    </w:p>
    <w:p w14:paraId="37CD583B" w14:textId="77777777" w:rsidR="007467F6" w:rsidRPr="00496C57" w:rsidRDefault="007467F6" w:rsidP="007467F6">
      <w:pPr>
        <w:autoSpaceDE w:val="0"/>
        <w:autoSpaceDN w:val="0"/>
        <w:adjustRightInd w:val="0"/>
        <w:rPr>
          <w:sz w:val="22"/>
          <w:szCs w:val="22"/>
        </w:rPr>
      </w:pPr>
    </w:p>
    <w:p w14:paraId="398B2A4B" w14:textId="69C59300" w:rsidR="007467F6" w:rsidRPr="00496C57" w:rsidRDefault="007467F6" w:rsidP="007467F6">
      <w:pPr>
        <w:autoSpaceDE w:val="0"/>
        <w:autoSpaceDN w:val="0"/>
        <w:adjustRightInd w:val="0"/>
        <w:rPr>
          <w:sz w:val="22"/>
          <w:szCs w:val="22"/>
        </w:rPr>
      </w:pPr>
      <w:r w:rsidRPr="00496C57">
        <w:rPr>
          <w:sz w:val="22"/>
          <w:szCs w:val="22"/>
        </w:rPr>
        <w:t xml:space="preserve">This letter serves as a request for reconsideration of payment of a denied </w:t>
      </w:r>
      <w:r w:rsidR="00CE784E" w:rsidRPr="00CE784E">
        <w:rPr>
          <w:color w:val="FF0000"/>
          <w:sz w:val="22"/>
          <w:szCs w:val="22"/>
        </w:rPr>
        <w:t>[Prior Authorization/C</w:t>
      </w:r>
      <w:r w:rsidRPr="00CE784E">
        <w:rPr>
          <w:color w:val="FF0000"/>
          <w:sz w:val="22"/>
          <w:szCs w:val="22"/>
        </w:rPr>
        <w:t>laim</w:t>
      </w:r>
      <w:r w:rsidR="00CE784E" w:rsidRPr="00CE784E">
        <w:rPr>
          <w:color w:val="FF0000"/>
          <w:sz w:val="22"/>
          <w:szCs w:val="22"/>
        </w:rPr>
        <w:t>]</w:t>
      </w:r>
      <w:r w:rsidRPr="00CE784E">
        <w:rPr>
          <w:color w:val="FF0000"/>
          <w:sz w:val="22"/>
          <w:szCs w:val="22"/>
        </w:rPr>
        <w:t xml:space="preserve"> </w:t>
      </w:r>
      <w:r w:rsidRPr="00496C57">
        <w:rPr>
          <w:sz w:val="22"/>
          <w:szCs w:val="22"/>
        </w:rPr>
        <w:t xml:space="preserve">for </w:t>
      </w:r>
      <w:r w:rsidR="00FE2F27">
        <w:rPr>
          <w:sz w:val="22"/>
          <w:szCs w:val="22"/>
        </w:rPr>
        <w:t>Kabiven</w:t>
      </w:r>
      <w:r w:rsidR="00647F7B">
        <w:rPr>
          <w:sz w:val="22"/>
          <w:szCs w:val="22"/>
        </w:rPr>
        <w:t>® (</w:t>
      </w:r>
      <w:r w:rsidR="00FE2F27">
        <w:rPr>
          <w:sz w:val="22"/>
          <w:szCs w:val="22"/>
        </w:rPr>
        <w:t xml:space="preserve">amino acids, electrolytes, </w:t>
      </w:r>
      <w:proofErr w:type="gramStart"/>
      <w:r w:rsidR="00FE2F27">
        <w:rPr>
          <w:sz w:val="22"/>
          <w:szCs w:val="22"/>
        </w:rPr>
        <w:t>dextrose</w:t>
      </w:r>
      <w:proofErr w:type="gramEnd"/>
      <w:r w:rsidR="00FE2F27">
        <w:rPr>
          <w:sz w:val="22"/>
          <w:szCs w:val="22"/>
        </w:rPr>
        <w:t xml:space="preserve"> and lipid injectable emulsion)</w:t>
      </w:r>
      <w:r w:rsidRPr="00496C57">
        <w:rPr>
          <w:color w:val="211D1E"/>
          <w:sz w:val="22"/>
          <w:szCs w:val="22"/>
        </w:rPr>
        <w:t xml:space="preserve">, </w:t>
      </w:r>
      <w:r w:rsidR="00E419B9">
        <w:rPr>
          <w:color w:val="211D1E"/>
          <w:sz w:val="22"/>
          <w:szCs w:val="22"/>
        </w:rPr>
        <w:t>for</w:t>
      </w:r>
      <w:r w:rsidR="00B20ADB" w:rsidRPr="00496C57">
        <w:rPr>
          <w:sz w:val="22"/>
          <w:szCs w:val="22"/>
        </w:rPr>
        <w:t xml:space="preserve"> </w:t>
      </w:r>
      <w:r w:rsidR="00EA0AF8" w:rsidRPr="00E419B9">
        <w:rPr>
          <w:color w:val="FF0000"/>
          <w:sz w:val="22"/>
          <w:szCs w:val="22"/>
        </w:rPr>
        <w:t>[</w:t>
      </w:r>
      <w:r w:rsidR="00B20ADB" w:rsidRPr="00E419B9">
        <w:rPr>
          <w:color w:val="FF0000"/>
          <w:sz w:val="22"/>
          <w:szCs w:val="22"/>
        </w:rPr>
        <w:t>Patient Name</w:t>
      </w:r>
      <w:r w:rsidR="008828A3" w:rsidRPr="00E419B9">
        <w:rPr>
          <w:color w:val="FF0000"/>
          <w:sz w:val="22"/>
          <w:szCs w:val="22"/>
        </w:rPr>
        <w:t>]</w:t>
      </w:r>
      <w:r w:rsidRPr="00E419B9">
        <w:rPr>
          <w:color w:val="FF0000"/>
          <w:sz w:val="22"/>
          <w:szCs w:val="22"/>
        </w:rPr>
        <w:t xml:space="preserve"> </w:t>
      </w:r>
      <w:r w:rsidRPr="00496C57">
        <w:rPr>
          <w:sz w:val="22"/>
          <w:szCs w:val="22"/>
        </w:rPr>
        <w:t xml:space="preserve">on </w:t>
      </w:r>
      <w:r w:rsidR="008828A3" w:rsidRPr="00E419B9">
        <w:rPr>
          <w:color w:val="FF0000"/>
          <w:sz w:val="22"/>
          <w:szCs w:val="22"/>
        </w:rPr>
        <w:t>[</w:t>
      </w:r>
      <w:r w:rsidR="00B20ADB" w:rsidRPr="00E419B9">
        <w:rPr>
          <w:color w:val="FF0000"/>
          <w:sz w:val="22"/>
          <w:szCs w:val="22"/>
        </w:rPr>
        <w:t>Date(s) of Service</w:t>
      </w:r>
      <w:r w:rsidR="00EA0AF8" w:rsidRPr="00E419B9">
        <w:rPr>
          <w:color w:val="FF0000"/>
          <w:sz w:val="22"/>
          <w:szCs w:val="22"/>
        </w:rPr>
        <w:t>]</w:t>
      </w:r>
      <w:r w:rsidRPr="00496C57">
        <w:rPr>
          <w:sz w:val="22"/>
          <w:szCs w:val="22"/>
        </w:rPr>
        <w:t>.</w:t>
      </w:r>
    </w:p>
    <w:p w14:paraId="21A348EA" w14:textId="77777777" w:rsidR="007467F6" w:rsidRPr="00496C57" w:rsidRDefault="007467F6" w:rsidP="007467F6">
      <w:pPr>
        <w:autoSpaceDE w:val="0"/>
        <w:autoSpaceDN w:val="0"/>
        <w:adjustRightInd w:val="0"/>
        <w:rPr>
          <w:sz w:val="22"/>
          <w:szCs w:val="22"/>
        </w:rPr>
      </w:pPr>
    </w:p>
    <w:p w14:paraId="30CF8A4B" w14:textId="024B25B6" w:rsidR="007467F6" w:rsidRPr="00496C57" w:rsidRDefault="007467F6" w:rsidP="007467F6">
      <w:pPr>
        <w:rPr>
          <w:sz w:val="22"/>
          <w:szCs w:val="22"/>
        </w:rPr>
      </w:pPr>
      <w:r w:rsidRPr="00496C57">
        <w:rPr>
          <w:sz w:val="22"/>
          <w:szCs w:val="22"/>
        </w:rPr>
        <w:t>This patient has been unde</w:t>
      </w:r>
      <w:r w:rsidR="00BF3725" w:rsidRPr="00496C57">
        <w:rPr>
          <w:sz w:val="22"/>
          <w:szCs w:val="22"/>
        </w:rPr>
        <w:t xml:space="preserve">r my care for the treatment of </w:t>
      </w:r>
      <w:r w:rsidR="006165EB" w:rsidRPr="00E419B9">
        <w:rPr>
          <w:color w:val="FF0000"/>
          <w:sz w:val="22"/>
          <w:szCs w:val="22"/>
        </w:rPr>
        <w:t>[</w:t>
      </w:r>
      <w:r w:rsidR="00B20ADB" w:rsidRPr="00E419B9">
        <w:rPr>
          <w:color w:val="FF0000"/>
          <w:sz w:val="22"/>
          <w:szCs w:val="22"/>
        </w:rPr>
        <w:t>patient diagnosis</w:t>
      </w:r>
      <w:r w:rsidR="006165EB" w:rsidRPr="00E419B9">
        <w:rPr>
          <w:color w:val="FF0000"/>
          <w:sz w:val="22"/>
          <w:szCs w:val="22"/>
        </w:rPr>
        <w:t>]</w:t>
      </w:r>
      <w:r w:rsidRPr="00496C57">
        <w:rPr>
          <w:rFonts w:eastAsia="Times New Roman"/>
          <w:sz w:val="22"/>
          <w:szCs w:val="22"/>
        </w:rPr>
        <w:t xml:space="preserve">, which increases the patient’s risk </w:t>
      </w:r>
      <w:r w:rsidRPr="00647F7B">
        <w:rPr>
          <w:rFonts w:eastAsia="Times New Roman"/>
          <w:sz w:val="22"/>
          <w:szCs w:val="22"/>
        </w:rPr>
        <w:t>of</w:t>
      </w:r>
      <w:r w:rsidRPr="00647F7B">
        <w:rPr>
          <w:rFonts w:eastAsia="Times New Roman"/>
          <w:color w:val="FF0000"/>
          <w:sz w:val="22"/>
          <w:szCs w:val="22"/>
        </w:rPr>
        <w:t xml:space="preserve"> </w:t>
      </w:r>
      <w:r w:rsidR="00647F7B" w:rsidRPr="00647F7B">
        <w:rPr>
          <w:rFonts w:eastAsia="Times New Roman"/>
          <w:color w:val="FF0000"/>
          <w:sz w:val="22"/>
          <w:szCs w:val="22"/>
        </w:rPr>
        <w:t xml:space="preserve">[insert condition </w:t>
      </w:r>
      <w:proofErr w:type="spellStart"/>
      <w:proofErr w:type="gramStart"/>
      <w:r w:rsidR="00647F7B" w:rsidRPr="00647F7B">
        <w:rPr>
          <w:rFonts w:eastAsia="Times New Roman"/>
          <w:color w:val="FF0000"/>
          <w:sz w:val="22"/>
          <w:szCs w:val="22"/>
        </w:rPr>
        <w:t>ie</w:t>
      </w:r>
      <w:proofErr w:type="spellEnd"/>
      <w:proofErr w:type="gramEnd"/>
      <w:r w:rsidR="00647F7B" w:rsidRPr="00647F7B">
        <w:rPr>
          <w:rFonts w:eastAsia="Times New Roman"/>
          <w:color w:val="FF0000"/>
          <w:sz w:val="22"/>
          <w:szCs w:val="22"/>
        </w:rPr>
        <w:t xml:space="preserve"> malnutrition].</w:t>
      </w:r>
      <w:r w:rsidR="00562544" w:rsidRPr="00647F7B">
        <w:rPr>
          <w:rFonts w:eastAsia="Times New Roman"/>
          <w:color w:val="FF0000"/>
          <w:sz w:val="22"/>
          <w:szCs w:val="22"/>
        </w:rPr>
        <w:t xml:space="preserve"> </w:t>
      </w:r>
      <w:r w:rsidRPr="00496C57">
        <w:rPr>
          <w:sz w:val="22"/>
          <w:szCs w:val="22"/>
        </w:rPr>
        <w:t xml:space="preserve">You have indicated that </w:t>
      </w:r>
      <w:r w:rsidR="00B55092">
        <w:rPr>
          <w:sz w:val="22"/>
          <w:szCs w:val="22"/>
        </w:rPr>
        <w:t>Kabiven</w:t>
      </w:r>
      <w:r w:rsidR="00103922" w:rsidRPr="00103922">
        <w:rPr>
          <w:rFonts w:cstheme="minorHAnsi"/>
          <w:sz w:val="22"/>
          <w:szCs w:val="22"/>
          <w:vertAlign w:val="superscript"/>
        </w:rPr>
        <w:t>®</w:t>
      </w:r>
      <w:r w:rsidRPr="00496C57">
        <w:rPr>
          <w:sz w:val="22"/>
          <w:szCs w:val="22"/>
        </w:rPr>
        <w:t xml:space="preserve"> is not cove</w:t>
      </w:r>
      <w:r w:rsidR="008B1CD2" w:rsidRPr="00496C57">
        <w:rPr>
          <w:sz w:val="22"/>
          <w:szCs w:val="22"/>
        </w:rPr>
        <w:t xml:space="preserve">red because </w:t>
      </w:r>
      <w:r w:rsidR="00235F8C" w:rsidRPr="00E419B9">
        <w:rPr>
          <w:color w:val="FF0000"/>
          <w:sz w:val="22"/>
          <w:szCs w:val="22"/>
        </w:rPr>
        <w:t>[</w:t>
      </w:r>
      <w:r w:rsidR="00B20ADB" w:rsidRPr="00E419B9">
        <w:rPr>
          <w:color w:val="FF0000"/>
          <w:sz w:val="22"/>
          <w:szCs w:val="22"/>
        </w:rPr>
        <w:t>reason for denial</w:t>
      </w:r>
      <w:r w:rsidR="00235F8C" w:rsidRPr="00E419B9">
        <w:rPr>
          <w:color w:val="FF0000"/>
          <w:sz w:val="22"/>
          <w:szCs w:val="22"/>
        </w:rPr>
        <w:t>]</w:t>
      </w:r>
      <w:r w:rsidR="008B1CD2" w:rsidRPr="00496C57">
        <w:rPr>
          <w:sz w:val="22"/>
          <w:szCs w:val="22"/>
        </w:rPr>
        <w:t>.</w:t>
      </w:r>
    </w:p>
    <w:p w14:paraId="04AA3426" w14:textId="77777777" w:rsidR="00562544" w:rsidRPr="00496C57" w:rsidRDefault="00562544" w:rsidP="007467F6">
      <w:pPr>
        <w:rPr>
          <w:rFonts w:eastAsia="Times New Roman"/>
          <w:sz w:val="22"/>
          <w:szCs w:val="22"/>
        </w:rPr>
      </w:pPr>
    </w:p>
    <w:p w14:paraId="30D1E45F" w14:textId="2C987185" w:rsidR="007467F6" w:rsidRPr="00CE784E" w:rsidRDefault="00EA0AF8" w:rsidP="007467F6">
      <w:pPr>
        <w:rPr>
          <w:rFonts w:eastAsia="Times New Roman"/>
          <w:color w:val="FF0000"/>
          <w:sz w:val="22"/>
          <w:szCs w:val="22"/>
        </w:rPr>
      </w:pPr>
      <w:r w:rsidRPr="00CE784E">
        <w:rPr>
          <w:rFonts w:eastAsia="Times New Roman"/>
          <w:color w:val="FF0000"/>
          <w:sz w:val="22"/>
          <w:szCs w:val="22"/>
        </w:rPr>
        <w:t>[</w:t>
      </w:r>
      <w:r w:rsidR="0087772C" w:rsidRPr="00CE784E">
        <w:rPr>
          <w:rFonts w:eastAsia="Times New Roman"/>
          <w:color w:val="FF0000"/>
          <w:sz w:val="22"/>
          <w:szCs w:val="22"/>
        </w:rPr>
        <w:t>Briefly describe</w:t>
      </w:r>
      <w:r w:rsidR="00B20ADB" w:rsidRPr="00CE784E">
        <w:rPr>
          <w:rFonts w:eastAsia="Times New Roman"/>
          <w:color w:val="FF0000"/>
          <w:sz w:val="22"/>
          <w:szCs w:val="22"/>
        </w:rPr>
        <w:t xml:space="preserve"> patient’s symptoms, therapy to date, and any other pertinent information</w:t>
      </w:r>
      <w:r w:rsidR="00CE784E">
        <w:rPr>
          <w:rFonts w:eastAsia="Times New Roman"/>
          <w:color w:val="FF0000"/>
          <w:sz w:val="22"/>
          <w:szCs w:val="22"/>
        </w:rPr>
        <w:t xml:space="preserve">, including </w:t>
      </w:r>
      <w:r w:rsidR="00CE784E" w:rsidRPr="00CE784E">
        <w:rPr>
          <w:rFonts w:eastAsia="Times New Roman"/>
          <w:color w:val="FF0000"/>
          <w:sz w:val="22"/>
          <w:szCs w:val="22"/>
        </w:rPr>
        <w:t>how</w:t>
      </w:r>
      <w:r w:rsidR="00B20ADB" w:rsidRPr="00CE784E">
        <w:rPr>
          <w:rFonts w:eastAsia="Times New Roman"/>
          <w:color w:val="FF0000"/>
          <w:sz w:val="22"/>
          <w:szCs w:val="22"/>
        </w:rPr>
        <w:t xml:space="preserve"> </w:t>
      </w:r>
      <w:r w:rsidR="00B55092">
        <w:rPr>
          <w:color w:val="FF0000"/>
          <w:sz w:val="22"/>
          <w:szCs w:val="22"/>
        </w:rPr>
        <w:t>Kabiven</w:t>
      </w:r>
      <w:r w:rsidR="00E419B9" w:rsidRPr="00103922">
        <w:rPr>
          <w:color w:val="FF0000"/>
          <w:sz w:val="22"/>
          <w:szCs w:val="22"/>
          <w:vertAlign w:val="superscript"/>
        </w:rPr>
        <w:t>®</w:t>
      </w:r>
      <w:r w:rsidR="007467F6" w:rsidRPr="00103922">
        <w:rPr>
          <w:rFonts w:eastAsia="Times New Roman"/>
          <w:color w:val="FF0000"/>
          <w:sz w:val="22"/>
          <w:szCs w:val="22"/>
          <w:vertAlign w:val="superscript"/>
        </w:rPr>
        <w:t xml:space="preserve"> </w:t>
      </w:r>
      <w:r w:rsidR="007467F6" w:rsidRPr="00CE784E">
        <w:rPr>
          <w:rFonts w:eastAsia="Times New Roman"/>
          <w:color w:val="FF0000"/>
          <w:sz w:val="22"/>
          <w:szCs w:val="22"/>
        </w:rPr>
        <w:t xml:space="preserve">has </w:t>
      </w:r>
      <w:r w:rsidR="00CE784E" w:rsidRPr="00CE784E">
        <w:rPr>
          <w:rFonts w:eastAsia="Times New Roman"/>
          <w:color w:val="FF0000"/>
          <w:sz w:val="22"/>
          <w:szCs w:val="22"/>
        </w:rPr>
        <w:t>been effective for this specific patient.]</w:t>
      </w:r>
      <w:r w:rsidR="007467F6" w:rsidRPr="00CE784E">
        <w:rPr>
          <w:rFonts w:eastAsia="Times New Roman"/>
          <w:color w:val="FF0000"/>
          <w:sz w:val="22"/>
          <w:szCs w:val="22"/>
        </w:rPr>
        <w:t xml:space="preserve"> </w:t>
      </w:r>
    </w:p>
    <w:p w14:paraId="62F7878F" w14:textId="77777777" w:rsidR="007467F6" w:rsidRPr="00496C57" w:rsidRDefault="007467F6" w:rsidP="007467F6">
      <w:pPr>
        <w:autoSpaceDE w:val="0"/>
        <w:autoSpaceDN w:val="0"/>
        <w:adjustRightInd w:val="0"/>
        <w:rPr>
          <w:sz w:val="22"/>
          <w:szCs w:val="22"/>
        </w:rPr>
      </w:pPr>
    </w:p>
    <w:p w14:paraId="70EE8E7D" w14:textId="1B0ACB44" w:rsidR="007467F6" w:rsidRPr="00496C57" w:rsidRDefault="007467F6" w:rsidP="007467F6">
      <w:pPr>
        <w:autoSpaceDE w:val="0"/>
        <w:autoSpaceDN w:val="0"/>
        <w:adjustRightInd w:val="0"/>
        <w:rPr>
          <w:sz w:val="22"/>
          <w:szCs w:val="22"/>
        </w:rPr>
      </w:pPr>
      <w:r w:rsidRPr="00496C57">
        <w:rPr>
          <w:sz w:val="22"/>
          <w:szCs w:val="22"/>
        </w:rPr>
        <w:t>The attached</w:t>
      </w:r>
      <w:r w:rsidR="00AC5134">
        <w:rPr>
          <w:sz w:val="22"/>
          <w:szCs w:val="22"/>
        </w:rPr>
        <w:t xml:space="preserve"> </w:t>
      </w:r>
      <w:r w:rsidR="00647F7B">
        <w:rPr>
          <w:sz w:val="22"/>
          <w:szCs w:val="22"/>
        </w:rPr>
        <w:t xml:space="preserve">Brief Summary </w:t>
      </w:r>
      <w:r w:rsidRPr="00496C57">
        <w:rPr>
          <w:sz w:val="22"/>
          <w:szCs w:val="22"/>
        </w:rPr>
        <w:t>provides the approved clinical information f</w:t>
      </w:r>
      <w:r w:rsidR="00B55092">
        <w:rPr>
          <w:sz w:val="22"/>
          <w:szCs w:val="22"/>
        </w:rPr>
        <w:t>or Kabiven</w:t>
      </w:r>
      <w:r w:rsidR="00103922" w:rsidRPr="00103922">
        <w:rPr>
          <w:rFonts w:cstheme="minorHAnsi"/>
          <w:sz w:val="22"/>
          <w:szCs w:val="22"/>
          <w:vertAlign w:val="superscript"/>
        </w:rPr>
        <w:t>®</w:t>
      </w:r>
      <w:r w:rsidR="00235F8C" w:rsidRPr="00103922">
        <w:rPr>
          <w:sz w:val="22"/>
          <w:szCs w:val="22"/>
        </w:rPr>
        <w:t>.</w:t>
      </w:r>
      <w:r w:rsidR="00F1698D">
        <w:rPr>
          <w:sz w:val="22"/>
          <w:szCs w:val="22"/>
        </w:rPr>
        <w:t xml:space="preserve"> </w:t>
      </w:r>
      <w:r w:rsidR="00B55092">
        <w:rPr>
          <w:sz w:val="22"/>
          <w:szCs w:val="22"/>
        </w:rPr>
        <w:t>Kabiven</w:t>
      </w:r>
      <w:r w:rsidR="00103922" w:rsidRPr="00103922">
        <w:rPr>
          <w:rFonts w:cstheme="minorHAnsi"/>
          <w:sz w:val="22"/>
          <w:szCs w:val="22"/>
          <w:vertAlign w:val="superscript"/>
        </w:rPr>
        <w:t>®</w:t>
      </w:r>
      <w:r w:rsidRPr="00496C57">
        <w:rPr>
          <w:sz w:val="22"/>
          <w:szCs w:val="22"/>
        </w:rPr>
        <w:t xml:space="preserve"> has been administered as a medically necessary part of this patient’s treatment. </w:t>
      </w:r>
    </w:p>
    <w:p w14:paraId="3BBB068E" w14:textId="77777777" w:rsidR="00C6711D" w:rsidRDefault="00C6711D" w:rsidP="007467F6">
      <w:pPr>
        <w:autoSpaceDE w:val="0"/>
        <w:autoSpaceDN w:val="0"/>
        <w:adjustRightInd w:val="0"/>
        <w:rPr>
          <w:sz w:val="22"/>
          <w:szCs w:val="22"/>
        </w:rPr>
      </w:pPr>
    </w:p>
    <w:p w14:paraId="1F4A9C67" w14:textId="1FA002B5" w:rsidR="007467F6" w:rsidRPr="00496C57" w:rsidRDefault="007467F6" w:rsidP="007467F6">
      <w:pPr>
        <w:autoSpaceDE w:val="0"/>
        <w:autoSpaceDN w:val="0"/>
        <w:adjustRightInd w:val="0"/>
        <w:rPr>
          <w:sz w:val="22"/>
          <w:szCs w:val="22"/>
        </w:rPr>
      </w:pPr>
      <w:r w:rsidRPr="00496C57">
        <w:rPr>
          <w:sz w:val="22"/>
          <w:szCs w:val="22"/>
        </w:rPr>
        <w:t>I would appreciate reconsideration of coverage for</w:t>
      </w:r>
      <w:r w:rsidR="00907FC7" w:rsidRPr="00496C57">
        <w:rPr>
          <w:sz w:val="22"/>
          <w:szCs w:val="22"/>
        </w:rPr>
        <w:t xml:space="preserve"> the</w:t>
      </w:r>
      <w:r w:rsidRPr="00496C57">
        <w:rPr>
          <w:sz w:val="22"/>
          <w:szCs w:val="22"/>
        </w:rPr>
        <w:t xml:space="preserve"> </w:t>
      </w:r>
      <w:r w:rsidR="00CE784E" w:rsidRPr="00CE784E">
        <w:rPr>
          <w:color w:val="FF0000"/>
          <w:sz w:val="22"/>
          <w:szCs w:val="22"/>
        </w:rPr>
        <w:t xml:space="preserve">[Prior Authorization/Claim] </w:t>
      </w:r>
      <w:r w:rsidR="00CE784E" w:rsidRPr="00CE784E">
        <w:rPr>
          <w:sz w:val="22"/>
          <w:szCs w:val="22"/>
        </w:rPr>
        <w:t>for the</w:t>
      </w:r>
      <w:r w:rsidR="00CE784E">
        <w:rPr>
          <w:sz w:val="22"/>
          <w:szCs w:val="22"/>
        </w:rPr>
        <w:t xml:space="preserve"> dates of service referenced above </w:t>
      </w:r>
      <w:r w:rsidRPr="00496C57">
        <w:rPr>
          <w:sz w:val="22"/>
          <w:szCs w:val="22"/>
        </w:rPr>
        <w:t xml:space="preserve">for </w:t>
      </w:r>
      <w:r w:rsidR="00E419B9" w:rsidRPr="00E419B9">
        <w:rPr>
          <w:color w:val="FF0000"/>
          <w:sz w:val="22"/>
          <w:szCs w:val="22"/>
        </w:rPr>
        <w:t>[</w:t>
      </w:r>
      <w:r w:rsidR="00B20ADB" w:rsidRPr="00E419B9">
        <w:rPr>
          <w:color w:val="FF0000"/>
          <w:sz w:val="22"/>
          <w:szCs w:val="22"/>
        </w:rPr>
        <w:t>Patient Name</w:t>
      </w:r>
      <w:r w:rsidR="00EA0AF8" w:rsidRPr="00E419B9">
        <w:rPr>
          <w:color w:val="FF0000"/>
          <w:sz w:val="22"/>
          <w:szCs w:val="22"/>
        </w:rPr>
        <w:t>]</w:t>
      </w:r>
      <w:r w:rsidRPr="00496C57">
        <w:rPr>
          <w:sz w:val="22"/>
          <w:szCs w:val="22"/>
        </w:rPr>
        <w:t xml:space="preserve">. </w:t>
      </w:r>
    </w:p>
    <w:p w14:paraId="2F085846" w14:textId="77777777" w:rsidR="007467F6" w:rsidRPr="00496C57" w:rsidRDefault="007467F6" w:rsidP="007467F6">
      <w:pPr>
        <w:autoSpaceDE w:val="0"/>
        <w:autoSpaceDN w:val="0"/>
        <w:adjustRightInd w:val="0"/>
        <w:rPr>
          <w:sz w:val="22"/>
          <w:szCs w:val="22"/>
        </w:rPr>
      </w:pPr>
    </w:p>
    <w:p w14:paraId="6BAFF4CE" w14:textId="21AE8DF6" w:rsidR="007467F6" w:rsidRPr="00496C57" w:rsidRDefault="007467F6" w:rsidP="007467F6">
      <w:pPr>
        <w:autoSpaceDE w:val="0"/>
        <w:autoSpaceDN w:val="0"/>
        <w:adjustRightInd w:val="0"/>
        <w:rPr>
          <w:sz w:val="22"/>
          <w:szCs w:val="22"/>
        </w:rPr>
      </w:pPr>
      <w:r w:rsidRPr="00496C57">
        <w:rPr>
          <w:sz w:val="22"/>
          <w:szCs w:val="22"/>
        </w:rPr>
        <w:t>Please contact me at if you require additional information.</w:t>
      </w:r>
    </w:p>
    <w:p w14:paraId="2C6D5BA5" w14:textId="77777777" w:rsidR="007467F6" w:rsidRPr="00496C57" w:rsidRDefault="007467F6" w:rsidP="007467F6">
      <w:pPr>
        <w:autoSpaceDE w:val="0"/>
        <w:autoSpaceDN w:val="0"/>
        <w:adjustRightInd w:val="0"/>
        <w:rPr>
          <w:sz w:val="22"/>
          <w:szCs w:val="22"/>
        </w:rPr>
      </w:pPr>
    </w:p>
    <w:p w14:paraId="584F64D7" w14:textId="77777777" w:rsidR="007467F6" w:rsidRPr="00496C57" w:rsidRDefault="007467F6" w:rsidP="007467F6">
      <w:pPr>
        <w:autoSpaceDE w:val="0"/>
        <w:autoSpaceDN w:val="0"/>
        <w:adjustRightInd w:val="0"/>
        <w:rPr>
          <w:sz w:val="22"/>
          <w:szCs w:val="22"/>
        </w:rPr>
      </w:pPr>
      <w:r w:rsidRPr="00496C57">
        <w:rPr>
          <w:sz w:val="22"/>
          <w:szCs w:val="22"/>
        </w:rPr>
        <w:t>Sincerely,</w:t>
      </w:r>
    </w:p>
    <w:p w14:paraId="7A61876E" w14:textId="0A839AD8" w:rsidR="007467F6" w:rsidRDefault="007467F6" w:rsidP="007467F6">
      <w:pPr>
        <w:autoSpaceDE w:val="0"/>
        <w:autoSpaceDN w:val="0"/>
        <w:adjustRightInd w:val="0"/>
        <w:rPr>
          <w:sz w:val="22"/>
          <w:szCs w:val="22"/>
        </w:rPr>
      </w:pPr>
    </w:p>
    <w:p w14:paraId="75D818FF" w14:textId="58E2055D" w:rsidR="00CE784E" w:rsidRPr="00496C57" w:rsidRDefault="00CE784E" w:rsidP="007467F6">
      <w:pPr>
        <w:autoSpaceDE w:val="0"/>
        <w:autoSpaceDN w:val="0"/>
        <w:adjustRightInd w:val="0"/>
        <w:rPr>
          <w:sz w:val="22"/>
          <w:szCs w:val="22"/>
        </w:rPr>
      </w:pPr>
      <w:r>
        <w:rPr>
          <w:sz w:val="22"/>
          <w:szCs w:val="22"/>
        </w:rPr>
        <w:t>_______________________________</w:t>
      </w:r>
    </w:p>
    <w:p w14:paraId="0F2E5C5E" w14:textId="77777777" w:rsidR="00B20ADB" w:rsidRPr="00496C57" w:rsidRDefault="00B20ADB" w:rsidP="007467F6">
      <w:pPr>
        <w:autoSpaceDE w:val="0"/>
        <w:autoSpaceDN w:val="0"/>
        <w:adjustRightInd w:val="0"/>
        <w:rPr>
          <w:sz w:val="22"/>
          <w:szCs w:val="22"/>
        </w:rPr>
      </w:pPr>
    </w:p>
    <w:p w14:paraId="0A957389" w14:textId="3E07F4B7" w:rsidR="007467F6" w:rsidRDefault="00EA0AF8" w:rsidP="007467F6">
      <w:pPr>
        <w:autoSpaceDE w:val="0"/>
        <w:autoSpaceDN w:val="0"/>
        <w:adjustRightInd w:val="0"/>
        <w:rPr>
          <w:color w:val="FF0000"/>
          <w:sz w:val="22"/>
          <w:szCs w:val="22"/>
        </w:rPr>
      </w:pPr>
      <w:r w:rsidRPr="007351F4">
        <w:rPr>
          <w:color w:val="FF0000"/>
          <w:sz w:val="22"/>
          <w:szCs w:val="22"/>
        </w:rPr>
        <w:t>[</w:t>
      </w:r>
      <w:r w:rsidR="00B20ADB" w:rsidRPr="007351F4">
        <w:rPr>
          <w:color w:val="FF0000"/>
          <w:sz w:val="22"/>
          <w:szCs w:val="22"/>
        </w:rPr>
        <w:t xml:space="preserve">Physician </w:t>
      </w:r>
      <w:r w:rsidR="00B20ADB" w:rsidRPr="00E419B9">
        <w:rPr>
          <w:color w:val="FF0000"/>
          <w:sz w:val="22"/>
          <w:szCs w:val="22"/>
        </w:rPr>
        <w:t>Name</w:t>
      </w:r>
      <w:r w:rsidRPr="00E419B9">
        <w:rPr>
          <w:color w:val="FF0000"/>
          <w:sz w:val="22"/>
          <w:szCs w:val="22"/>
        </w:rPr>
        <w:t>]</w:t>
      </w:r>
    </w:p>
    <w:p w14:paraId="5243EE11" w14:textId="2DCD6C03" w:rsidR="00CE784E" w:rsidRDefault="00CE784E" w:rsidP="007467F6">
      <w:pPr>
        <w:autoSpaceDE w:val="0"/>
        <w:autoSpaceDN w:val="0"/>
        <w:adjustRightInd w:val="0"/>
        <w:rPr>
          <w:color w:val="FF0000"/>
          <w:sz w:val="22"/>
          <w:szCs w:val="22"/>
        </w:rPr>
      </w:pPr>
      <w:r>
        <w:rPr>
          <w:color w:val="FF0000"/>
          <w:sz w:val="22"/>
          <w:szCs w:val="22"/>
        </w:rPr>
        <w:t>[Physician Street Address]</w:t>
      </w:r>
    </w:p>
    <w:p w14:paraId="3CB57214" w14:textId="6428C111" w:rsidR="00CE784E" w:rsidRPr="00E419B9" w:rsidRDefault="00CE784E" w:rsidP="007467F6">
      <w:pPr>
        <w:autoSpaceDE w:val="0"/>
        <w:autoSpaceDN w:val="0"/>
        <w:adjustRightInd w:val="0"/>
        <w:rPr>
          <w:color w:val="FF0000"/>
          <w:sz w:val="22"/>
          <w:szCs w:val="22"/>
        </w:rPr>
      </w:pPr>
      <w:r>
        <w:rPr>
          <w:color w:val="FF0000"/>
          <w:sz w:val="22"/>
          <w:szCs w:val="22"/>
        </w:rPr>
        <w:t>[Physician City, State, Zip]</w:t>
      </w:r>
    </w:p>
    <w:p w14:paraId="5DCA2050" w14:textId="3F5602E1" w:rsidR="00B20ADB" w:rsidRPr="00E419B9" w:rsidRDefault="00EA0AF8" w:rsidP="007467F6">
      <w:pPr>
        <w:autoSpaceDE w:val="0"/>
        <w:autoSpaceDN w:val="0"/>
        <w:adjustRightInd w:val="0"/>
        <w:rPr>
          <w:color w:val="FF0000"/>
          <w:sz w:val="22"/>
          <w:szCs w:val="22"/>
        </w:rPr>
      </w:pPr>
      <w:r w:rsidRPr="00E419B9">
        <w:rPr>
          <w:color w:val="FF0000"/>
          <w:sz w:val="22"/>
          <w:szCs w:val="22"/>
        </w:rPr>
        <w:t>[</w:t>
      </w:r>
      <w:r w:rsidR="00B20ADB" w:rsidRPr="00E419B9">
        <w:rPr>
          <w:color w:val="FF0000"/>
          <w:sz w:val="22"/>
          <w:szCs w:val="22"/>
        </w:rPr>
        <w:t>Participating Provider Number</w:t>
      </w:r>
      <w:r w:rsidRPr="00E419B9">
        <w:rPr>
          <w:color w:val="FF0000"/>
          <w:sz w:val="22"/>
          <w:szCs w:val="22"/>
        </w:rPr>
        <w:t>]</w:t>
      </w:r>
    </w:p>
    <w:p w14:paraId="5E408647" w14:textId="7100DFEF" w:rsidR="00B20ADB" w:rsidRPr="00E419B9" w:rsidRDefault="00E419B9" w:rsidP="008B1CD2">
      <w:pPr>
        <w:autoSpaceDE w:val="0"/>
        <w:autoSpaceDN w:val="0"/>
        <w:adjustRightInd w:val="0"/>
        <w:spacing w:after="360"/>
        <w:rPr>
          <w:color w:val="FF0000"/>
          <w:sz w:val="22"/>
          <w:szCs w:val="22"/>
        </w:rPr>
      </w:pPr>
      <w:r w:rsidRPr="00E419B9">
        <w:rPr>
          <w:color w:val="FF0000"/>
          <w:sz w:val="22"/>
          <w:szCs w:val="22"/>
        </w:rPr>
        <w:t>[Phone Number]</w:t>
      </w:r>
    </w:p>
    <w:p w14:paraId="0C31D91F" w14:textId="29B62173" w:rsidR="008B1CD2" w:rsidRDefault="007467F6" w:rsidP="002028C1">
      <w:pPr>
        <w:autoSpaceDE w:val="0"/>
        <w:autoSpaceDN w:val="0"/>
        <w:adjustRightInd w:val="0"/>
        <w:spacing w:after="360"/>
        <w:rPr>
          <w:color w:val="FF0000"/>
          <w:sz w:val="22"/>
          <w:szCs w:val="22"/>
        </w:rPr>
      </w:pPr>
      <w:r w:rsidRPr="00496C57">
        <w:rPr>
          <w:sz w:val="22"/>
          <w:szCs w:val="22"/>
        </w:rPr>
        <w:t xml:space="preserve">Enclosures </w:t>
      </w:r>
      <w:r w:rsidRPr="00E419B9">
        <w:rPr>
          <w:color w:val="FF0000"/>
          <w:sz w:val="22"/>
          <w:szCs w:val="22"/>
        </w:rPr>
        <w:t xml:space="preserve">[Attach original </w:t>
      </w:r>
      <w:r w:rsidR="00103922">
        <w:rPr>
          <w:color w:val="FF0000"/>
          <w:sz w:val="22"/>
          <w:szCs w:val="22"/>
        </w:rPr>
        <w:t xml:space="preserve">prior authorization or </w:t>
      </w:r>
      <w:r w:rsidRPr="00E419B9">
        <w:rPr>
          <w:color w:val="FF0000"/>
          <w:sz w:val="22"/>
          <w:szCs w:val="22"/>
        </w:rPr>
        <w:t xml:space="preserve">claim form, denial/Explanation of Benefits, </w:t>
      </w:r>
      <w:r w:rsidR="00907FC7" w:rsidRPr="00E419B9">
        <w:rPr>
          <w:color w:val="FF0000"/>
          <w:sz w:val="22"/>
          <w:szCs w:val="22"/>
        </w:rPr>
        <w:t xml:space="preserve">and </w:t>
      </w:r>
      <w:r w:rsidRPr="00E419B9">
        <w:rPr>
          <w:color w:val="FF0000"/>
          <w:sz w:val="22"/>
          <w:szCs w:val="22"/>
        </w:rPr>
        <w:t xml:space="preserve">additional supporting documents </w:t>
      </w:r>
      <w:r w:rsidR="00907FC7" w:rsidRPr="00E419B9">
        <w:rPr>
          <w:color w:val="FF0000"/>
          <w:sz w:val="22"/>
          <w:szCs w:val="22"/>
        </w:rPr>
        <w:t>(</w:t>
      </w:r>
      <w:r w:rsidRPr="00E419B9">
        <w:rPr>
          <w:color w:val="FF0000"/>
          <w:sz w:val="22"/>
          <w:szCs w:val="22"/>
        </w:rPr>
        <w:t>such as patient’s treatment with</w:t>
      </w:r>
      <w:r w:rsidR="00103922">
        <w:rPr>
          <w:color w:val="FF0000"/>
          <w:sz w:val="22"/>
          <w:szCs w:val="22"/>
        </w:rPr>
        <w:t xml:space="preserve"> </w:t>
      </w:r>
      <w:r w:rsidR="00B55092">
        <w:rPr>
          <w:color w:val="FF0000"/>
          <w:sz w:val="22"/>
          <w:szCs w:val="22"/>
        </w:rPr>
        <w:t>Kabiven</w:t>
      </w:r>
      <w:r w:rsidR="00103922" w:rsidRPr="00103922">
        <w:rPr>
          <w:rFonts w:cstheme="minorHAnsi"/>
          <w:color w:val="FF0000"/>
          <w:sz w:val="22"/>
          <w:szCs w:val="22"/>
          <w:vertAlign w:val="superscript"/>
        </w:rPr>
        <w:t>®</w:t>
      </w:r>
      <w:r w:rsidRPr="00E419B9">
        <w:rPr>
          <w:color w:val="FF0000"/>
          <w:sz w:val="22"/>
          <w:szCs w:val="22"/>
        </w:rPr>
        <w:t>, medical history, diagnosis, lab results</w:t>
      </w:r>
      <w:r w:rsidR="006B5A03" w:rsidRPr="00E419B9">
        <w:rPr>
          <w:color w:val="FF0000"/>
          <w:sz w:val="22"/>
          <w:szCs w:val="22"/>
        </w:rPr>
        <w:t>,</w:t>
      </w:r>
      <w:r w:rsidR="003B579F">
        <w:rPr>
          <w:color w:val="FF0000"/>
          <w:sz w:val="22"/>
          <w:szCs w:val="22"/>
        </w:rPr>
        <w:t xml:space="preserve"> </w:t>
      </w:r>
      <w:r w:rsidR="00B55092">
        <w:rPr>
          <w:color w:val="FF0000"/>
          <w:sz w:val="22"/>
          <w:szCs w:val="22"/>
        </w:rPr>
        <w:t>Kabiven</w:t>
      </w:r>
      <w:r w:rsidR="003B579F">
        <w:rPr>
          <w:color w:val="FF0000"/>
          <w:sz w:val="22"/>
          <w:szCs w:val="22"/>
        </w:rPr>
        <w:t xml:space="preserve"> Brief Summary of Prescribing </w:t>
      </w:r>
      <w:proofErr w:type="gramStart"/>
      <w:r w:rsidR="003B579F">
        <w:rPr>
          <w:color w:val="FF0000"/>
          <w:sz w:val="22"/>
          <w:szCs w:val="22"/>
        </w:rPr>
        <w:t>Information</w:t>
      </w:r>
      <w:proofErr w:type="gramEnd"/>
      <w:r w:rsidRPr="00E419B9">
        <w:rPr>
          <w:color w:val="FF0000"/>
          <w:sz w:val="22"/>
          <w:szCs w:val="22"/>
        </w:rPr>
        <w:t xml:space="preserve"> and treatment plan</w:t>
      </w:r>
      <w:r w:rsidR="006B5A03" w:rsidRPr="00E419B9">
        <w:rPr>
          <w:color w:val="FF0000"/>
          <w:sz w:val="22"/>
          <w:szCs w:val="22"/>
        </w:rPr>
        <w:t>)</w:t>
      </w:r>
      <w:r w:rsidR="00AA016A" w:rsidRPr="00E419B9">
        <w:rPr>
          <w:color w:val="FF0000"/>
          <w:sz w:val="22"/>
          <w:szCs w:val="22"/>
        </w:rPr>
        <w:t>.</w:t>
      </w:r>
      <w:r w:rsidR="00EA0AF8" w:rsidRPr="00E419B9">
        <w:rPr>
          <w:color w:val="FF0000"/>
          <w:sz w:val="22"/>
          <w:szCs w:val="22"/>
        </w:rPr>
        <w:t>]</w:t>
      </w:r>
    </w:p>
    <w:p w14:paraId="3DA4B613" w14:textId="77777777" w:rsidR="00DB1AFC" w:rsidRPr="008E7F5A" w:rsidRDefault="00DB1AFC" w:rsidP="00DB1AFC">
      <w:pPr>
        <w:autoSpaceDE w:val="0"/>
        <w:autoSpaceDN w:val="0"/>
        <w:adjustRightInd w:val="0"/>
        <w:jc w:val="both"/>
        <w:rPr>
          <w:rFonts w:cs="Frutiger-BoldCn"/>
          <w:b/>
          <w:bCs/>
          <w:sz w:val="20"/>
          <w:szCs w:val="20"/>
        </w:rPr>
      </w:pPr>
      <w:r w:rsidRPr="008E7F5A">
        <w:rPr>
          <w:rFonts w:cs="Frutiger-BoldCn"/>
          <w:b/>
          <w:bCs/>
          <w:sz w:val="20"/>
          <w:szCs w:val="20"/>
        </w:rPr>
        <w:lastRenderedPageBreak/>
        <w:t>KABIVEN® (Amino Acids, Electrolytes, Dextrose, and Lipid Injectable Emulsion), for intravenous use</w:t>
      </w:r>
    </w:p>
    <w:p w14:paraId="72E9DEFA" w14:textId="77777777" w:rsidR="00DB1AFC" w:rsidRPr="008E7F5A" w:rsidRDefault="00DB1AFC" w:rsidP="00DB1AFC">
      <w:pPr>
        <w:autoSpaceDE w:val="0"/>
        <w:autoSpaceDN w:val="0"/>
        <w:adjustRightInd w:val="0"/>
        <w:jc w:val="both"/>
        <w:rPr>
          <w:rFonts w:cs="Frutiger-BoldCn"/>
          <w:b/>
          <w:bCs/>
          <w:sz w:val="20"/>
          <w:szCs w:val="20"/>
        </w:rPr>
      </w:pPr>
      <w:r w:rsidRPr="008E7F5A">
        <w:rPr>
          <w:rFonts w:cs="Frutiger-BoldCn"/>
          <w:b/>
          <w:bCs/>
          <w:sz w:val="20"/>
          <w:szCs w:val="20"/>
        </w:rPr>
        <w:t>PERIKABIVEN® (Amino Acids, Electrolytes, Dextrose, and Lipid Injectable Emulsion), for intravenous use</w:t>
      </w:r>
    </w:p>
    <w:p w14:paraId="111C0220" w14:textId="77777777" w:rsidR="00DB1AFC" w:rsidRPr="008E7F5A" w:rsidRDefault="00DB1AFC" w:rsidP="00DB1AFC">
      <w:pPr>
        <w:autoSpaceDE w:val="0"/>
        <w:autoSpaceDN w:val="0"/>
        <w:adjustRightInd w:val="0"/>
        <w:jc w:val="both"/>
        <w:rPr>
          <w:rFonts w:cs="Frutiger-BoldCn"/>
          <w:b/>
          <w:bCs/>
          <w:sz w:val="20"/>
          <w:szCs w:val="20"/>
        </w:rPr>
      </w:pPr>
    </w:p>
    <w:p w14:paraId="7A8A4F47" w14:textId="77777777" w:rsidR="00DB1AFC" w:rsidRPr="008E7F5A" w:rsidRDefault="00DB1AFC" w:rsidP="00DB1AFC">
      <w:pPr>
        <w:autoSpaceDE w:val="0"/>
        <w:autoSpaceDN w:val="0"/>
        <w:adjustRightInd w:val="0"/>
        <w:jc w:val="both"/>
        <w:rPr>
          <w:rFonts w:cs="Frutiger-BoldCn"/>
          <w:b/>
          <w:bCs/>
          <w:sz w:val="20"/>
          <w:szCs w:val="20"/>
        </w:rPr>
      </w:pPr>
      <w:r w:rsidRPr="008E7F5A">
        <w:rPr>
          <w:rFonts w:cs="Frutiger-BoldCn"/>
          <w:b/>
          <w:bCs/>
          <w:sz w:val="20"/>
          <w:szCs w:val="20"/>
        </w:rPr>
        <w:t>BRIEF SUMMARY OF PRESCRIBING INFORMATION</w:t>
      </w:r>
    </w:p>
    <w:p w14:paraId="271045D7" w14:textId="77777777" w:rsidR="00DB1AFC" w:rsidRPr="008E7F5A" w:rsidRDefault="00DB1AFC" w:rsidP="00DB1AFC">
      <w:pPr>
        <w:rPr>
          <w:rFonts w:eastAsia="Times New Roman" w:cs="Times New Roman"/>
          <w:b/>
          <w:bCs/>
          <w:sz w:val="20"/>
          <w:szCs w:val="20"/>
        </w:rPr>
      </w:pPr>
    </w:p>
    <w:p w14:paraId="36540413" w14:textId="77777777" w:rsidR="00DB1AFC" w:rsidRPr="008E7F5A" w:rsidRDefault="00DB1AFC" w:rsidP="00DB1AFC">
      <w:pPr>
        <w:jc w:val="both"/>
        <w:rPr>
          <w:rFonts w:eastAsia="Times New Roman" w:cs="Times New Roman"/>
          <w:b/>
          <w:sz w:val="20"/>
          <w:szCs w:val="20"/>
        </w:rPr>
      </w:pPr>
      <w:r w:rsidRPr="008E7F5A">
        <w:rPr>
          <w:rFonts w:eastAsia="Times New Roman" w:cs="Times New Roman"/>
          <w:b/>
          <w:bCs/>
          <w:sz w:val="20"/>
          <w:szCs w:val="20"/>
        </w:rPr>
        <w:t xml:space="preserve">This </w:t>
      </w:r>
      <w:proofErr w:type="gramStart"/>
      <w:r w:rsidRPr="008E7F5A">
        <w:rPr>
          <w:rFonts w:eastAsia="Times New Roman" w:cs="Times New Roman"/>
          <w:b/>
          <w:bCs/>
          <w:sz w:val="20"/>
          <w:szCs w:val="20"/>
        </w:rPr>
        <w:t>brief summary</w:t>
      </w:r>
      <w:proofErr w:type="gramEnd"/>
      <w:r w:rsidRPr="008E7F5A">
        <w:rPr>
          <w:rFonts w:eastAsia="Times New Roman" w:cs="Times New Roman"/>
          <w:b/>
          <w:bCs/>
          <w:sz w:val="20"/>
          <w:szCs w:val="20"/>
        </w:rPr>
        <w:t xml:space="preserve"> does not include all the information needed to use K</w:t>
      </w:r>
      <w:r>
        <w:rPr>
          <w:rFonts w:eastAsia="Times New Roman" w:cs="Times New Roman"/>
          <w:b/>
          <w:bCs/>
          <w:sz w:val="20"/>
          <w:szCs w:val="20"/>
        </w:rPr>
        <w:t>ABIVEN</w:t>
      </w:r>
      <w:r w:rsidRPr="008E7F5A">
        <w:rPr>
          <w:rFonts w:eastAsia="Times New Roman" w:cs="Times New Roman"/>
          <w:b/>
          <w:bCs/>
          <w:sz w:val="20"/>
          <w:szCs w:val="20"/>
        </w:rPr>
        <w:t xml:space="preserve"> and P</w:t>
      </w:r>
      <w:r>
        <w:rPr>
          <w:rFonts w:eastAsia="Times New Roman" w:cs="Times New Roman"/>
          <w:b/>
          <w:bCs/>
          <w:sz w:val="20"/>
          <w:szCs w:val="20"/>
        </w:rPr>
        <w:t>ERIKABIVEN</w:t>
      </w:r>
      <w:r w:rsidRPr="008E7F5A">
        <w:rPr>
          <w:rFonts w:eastAsia="Times New Roman" w:cs="Times New Roman"/>
          <w:b/>
          <w:bCs/>
          <w:sz w:val="20"/>
          <w:szCs w:val="20"/>
        </w:rPr>
        <w:t xml:space="preserve"> safely and effectively.  Please see full prescribing information</w:t>
      </w:r>
      <w:r>
        <w:rPr>
          <w:rFonts w:eastAsia="Times New Roman" w:cs="Times New Roman"/>
          <w:b/>
          <w:bCs/>
          <w:sz w:val="20"/>
          <w:szCs w:val="20"/>
        </w:rPr>
        <w:t xml:space="preserve"> for </w:t>
      </w:r>
      <w:r w:rsidRPr="008E7F5A">
        <w:rPr>
          <w:rFonts w:eastAsia="Times New Roman" w:cs="Times New Roman"/>
          <w:b/>
          <w:bCs/>
          <w:sz w:val="20"/>
          <w:szCs w:val="20"/>
        </w:rPr>
        <w:t>K</w:t>
      </w:r>
      <w:r>
        <w:rPr>
          <w:rFonts w:eastAsia="Times New Roman" w:cs="Times New Roman"/>
          <w:b/>
          <w:bCs/>
          <w:sz w:val="20"/>
          <w:szCs w:val="20"/>
        </w:rPr>
        <w:t>ABIVEN</w:t>
      </w:r>
      <w:r w:rsidRPr="008E7F5A">
        <w:rPr>
          <w:rFonts w:eastAsia="Times New Roman" w:cs="Times New Roman"/>
          <w:b/>
          <w:bCs/>
          <w:sz w:val="20"/>
          <w:szCs w:val="20"/>
        </w:rPr>
        <w:t>® (Amino Acids, Electrolytes, Dextrose, and Lipid Injectable Emulsion), for intravenous use</w:t>
      </w:r>
      <w:r>
        <w:rPr>
          <w:rFonts w:eastAsia="Times New Roman" w:cs="Times New Roman"/>
          <w:b/>
          <w:bCs/>
          <w:sz w:val="20"/>
          <w:szCs w:val="20"/>
        </w:rPr>
        <w:t xml:space="preserve"> </w:t>
      </w:r>
      <w:hyperlink r:id="rId5" w:tgtFrame="_blank" w:history="1">
        <w:r>
          <w:rPr>
            <w:rStyle w:val="normaltextrun"/>
            <w:rFonts w:ascii="Calibri" w:hAnsi="Calibri" w:cs="Calibri"/>
            <w:color w:val="0563C1"/>
            <w:sz w:val="22"/>
            <w:szCs w:val="22"/>
            <w:u w:val="single"/>
            <w:shd w:val="clear" w:color="auto" w:fill="FFFFFF"/>
          </w:rPr>
          <w:t>https://bit.ly/4320vxI</w:t>
        </w:r>
      </w:hyperlink>
      <w:r>
        <w:rPr>
          <w:rStyle w:val="eop"/>
          <w:rFonts w:ascii="Calibri" w:hAnsi="Calibri" w:cs="Calibri"/>
          <w:color w:val="000000"/>
          <w:sz w:val="22"/>
          <w:szCs w:val="22"/>
          <w:shd w:val="clear" w:color="auto" w:fill="FFFFFF"/>
        </w:rPr>
        <w:t> </w:t>
      </w:r>
      <w:r w:rsidRPr="008E7F5A">
        <w:rPr>
          <w:rFonts w:eastAsia="Times New Roman" w:cs="Times New Roman"/>
          <w:b/>
          <w:bCs/>
          <w:sz w:val="20"/>
          <w:szCs w:val="20"/>
        </w:rPr>
        <w:t xml:space="preserve"> and P</w:t>
      </w:r>
      <w:r>
        <w:rPr>
          <w:rFonts w:eastAsia="Times New Roman" w:cs="Times New Roman"/>
          <w:b/>
          <w:bCs/>
          <w:sz w:val="20"/>
          <w:szCs w:val="20"/>
        </w:rPr>
        <w:t>ERIKABIVEN</w:t>
      </w:r>
      <w:r w:rsidRPr="008E7F5A">
        <w:rPr>
          <w:rFonts w:eastAsia="Times New Roman" w:cs="Times New Roman"/>
          <w:b/>
          <w:bCs/>
          <w:sz w:val="20"/>
          <w:szCs w:val="20"/>
        </w:rPr>
        <w:t xml:space="preserve">® (Amino Acids, Electrolytes, Dextrose, and Lipid Injectable Emulsion), for intravenous use </w:t>
      </w:r>
      <w:r w:rsidRPr="008E7F5A">
        <w:rPr>
          <w:rFonts w:eastAsia="Times New Roman" w:cs="Times New Roman"/>
          <w:b/>
          <w:sz w:val="20"/>
          <w:szCs w:val="20"/>
        </w:rPr>
        <w:t>a</w:t>
      </w:r>
      <w:r>
        <w:rPr>
          <w:rFonts w:eastAsia="Times New Roman" w:cs="Times New Roman"/>
          <w:b/>
          <w:sz w:val="20"/>
          <w:szCs w:val="20"/>
        </w:rPr>
        <w:t xml:space="preserve">t </w:t>
      </w:r>
      <w:hyperlink r:id="rId6" w:tgtFrame="_blank" w:history="1">
        <w:r>
          <w:rPr>
            <w:rStyle w:val="normaltextrun"/>
            <w:rFonts w:ascii="Calibri" w:hAnsi="Calibri" w:cs="Calibri"/>
            <w:color w:val="0563C1"/>
            <w:sz w:val="22"/>
            <w:szCs w:val="22"/>
            <w:u w:val="single"/>
            <w:shd w:val="clear" w:color="auto" w:fill="FFFFFF"/>
          </w:rPr>
          <w:t>https://bit.ly/43pwsQD</w:t>
        </w:r>
      </w:hyperlink>
      <w:r>
        <w:t>.</w:t>
      </w:r>
    </w:p>
    <w:p w14:paraId="502D24DE" w14:textId="77777777" w:rsidR="00DB1AFC" w:rsidRPr="008E7F5A" w:rsidRDefault="00DB1AFC" w:rsidP="00DB1AFC">
      <w:pPr>
        <w:jc w:val="both"/>
        <w:rPr>
          <w:rFonts w:eastAsia="Times New Roman" w:cs="Times New Roman"/>
          <w:b/>
          <w:sz w:val="20"/>
          <w:szCs w:val="20"/>
        </w:rPr>
      </w:pPr>
    </w:p>
    <w:p w14:paraId="6EEC3BED" w14:textId="77777777" w:rsidR="00DB1AFC" w:rsidRPr="008E7F5A" w:rsidRDefault="00DB1AFC" w:rsidP="00DB1AFC">
      <w:pPr>
        <w:rPr>
          <w:rFonts w:eastAsia="Times New Roman" w:cs="Times New Roman"/>
          <w:b/>
          <w:sz w:val="20"/>
          <w:szCs w:val="20"/>
        </w:rPr>
      </w:pPr>
    </w:p>
    <w:p w14:paraId="77C3E6C9" w14:textId="77777777" w:rsidR="00DB1AFC" w:rsidRPr="008E7F5A" w:rsidRDefault="00DB1AFC" w:rsidP="00DB1AFC">
      <w:pPr>
        <w:jc w:val="both"/>
        <w:rPr>
          <w:rFonts w:eastAsia="Times New Roman" w:cs="Times New Roman"/>
          <w:b/>
          <w:bCs/>
          <w:sz w:val="20"/>
          <w:szCs w:val="20"/>
        </w:rPr>
      </w:pPr>
      <w:r w:rsidRPr="008E7F5A">
        <w:rPr>
          <w:rFonts w:eastAsia="Times New Roman" w:cs="Times New Roman"/>
          <w:b/>
          <w:bCs/>
          <w:sz w:val="20"/>
          <w:szCs w:val="20"/>
        </w:rPr>
        <w:t>INDICATIONS AND USAGE</w:t>
      </w:r>
    </w:p>
    <w:p w14:paraId="3179983E" w14:textId="77777777" w:rsidR="00DB1AFC" w:rsidRPr="008E7F5A" w:rsidRDefault="00DB1AFC" w:rsidP="00DB1AFC">
      <w:pPr>
        <w:jc w:val="both"/>
        <w:rPr>
          <w:rFonts w:eastAsia="Times New Roman" w:cs="Times New Roman"/>
          <w:sz w:val="20"/>
          <w:szCs w:val="20"/>
        </w:rPr>
      </w:pPr>
      <w:r w:rsidRPr="008E7F5A">
        <w:rPr>
          <w:rFonts w:eastAsia="Times New Roman" w:cs="Times New Roman"/>
          <w:sz w:val="20"/>
          <w:szCs w:val="20"/>
        </w:rPr>
        <w:t xml:space="preserve">KABIVEN and </w:t>
      </w:r>
      <w:r w:rsidRPr="00730E52">
        <w:rPr>
          <w:rFonts w:eastAsia="Times New Roman" w:cs="Times New Roman"/>
          <w:caps/>
          <w:sz w:val="20"/>
          <w:szCs w:val="20"/>
        </w:rPr>
        <w:t>Perikabiven</w:t>
      </w:r>
      <w:r w:rsidRPr="008E7F5A">
        <w:rPr>
          <w:rFonts w:eastAsia="Times New Roman" w:cs="Times New Roman"/>
          <w:sz w:val="20"/>
          <w:szCs w:val="20"/>
        </w:rPr>
        <w:t xml:space="preserve"> are each indicated as a source of calories, protein, </w:t>
      </w:r>
      <w:proofErr w:type="gramStart"/>
      <w:r w:rsidRPr="008E7F5A">
        <w:rPr>
          <w:rFonts w:eastAsia="Times New Roman" w:cs="Times New Roman"/>
          <w:sz w:val="20"/>
          <w:szCs w:val="20"/>
        </w:rPr>
        <w:t>electrolytes</w:t>
      </w:r>
      <w:proofErr w:type="gramEnd"/>
      <w:r w:rsidRPr="008E7F5A">
        <w:rPr>
          <w:rFonts w:eastAsia="Times New Roman" w:cs="Times New Roman"/>
          <w:sz w:val="20"/>
          <w:szCs w:val="20"/>
        </w:rPr>
        <w:t xml:space="preserve"> and essential fatty acids for adult patients requiring parenteral nutrition when oral or enteral nutrition is not possible, insufficient, or contraindicated. KABIVEN and PERIKABIVEN may be used to prevent essential fatty acid deficiency or treat negative nitrogen balance in adult patients.</w:t>
      </w:r>
    </w:p>
    <w:p w14:paraId="20D259AB" w14:textId="77777777" w:rsidR="00DB1AFC" w:rsidRPr="008E7F5A" w:rsidRDefault="00DB1AFC" w:rsidP="00DB1AFC">
      <w:pPr>
        <w:jc w:val="both"/>
        <w:rPr>
          <w:rFonts w:eastAsia="Times New Roman" w:cs="Times New Roman"/>
          <w:sz w:val="20"/>
          <w:szCs w:val="20"/>
          <w:u w:val="single"/>
        </w:rPr>
      </w:pPr>
    </w:p>
    <w:p w14:paraId="40C6B21D" w14:textId="77777777" w:rsidR="00DB1AFC" w:rsidRPr="008E7F5A" w:rsidRDefault="00DB1AFC" w:rsidP="00DB1AFC">
      <w:pPr>
        <w:jc w:val="both"/>
        <w:rPr>
          <w:rFonts w:eastAsia="Times New Roman" w:cs="Times New Roman"/>
          <w:sz w:val="20"/>
          <w:szCs w:val="20"/>
        </w:rPr>
      </w:pPr>
      <w:r w:rsidRPr="008E7F5A">
        <w:rPr>
          <w:rFonts w:eastAsia="Times New Roman" w:cs="Times New Roman"/>
          <w:sz w:val="20"/>
          <w:szCs w:val="20"/>
          <w:u w:val="single"/>
        </w:rPr>
        <w:t>Limitations of Use</w:t>
      </w:r>
      <w:r w:rsidRPr="008E7F5A">
        <w:rPr>
          <w:rFonts w:eastAsia="Times New Roman" w:cs="Times New Roman"/>
          <w:sz w:val="20"/>
          <w:szCs w:val="20"/>
        </w:rPr>
        <w:t> </w:t>
      </w:r>
    </w:p>
    <w:p w14:paraId="21ABD6D5" w14:textId="77777777" w:rsidR="00DB1AFC" w:rsidRPr="008E7F5A" w:rsidRDefault="00DB1AFC" w:rsidP="00DB1AFC">
      <w:pPr>
        <w:jc w:val="both"/>
        <w:rPr>
          <w:rFonts w:eastAsia="Times New Roman" w:cs="Times New Roman"/>
          <w:sz w:val="20"/>
          <w:szCs w:val="20"/>
        </w:rPr>
      </w:pPr>
      <w:r w:rsidRPr="008E7F5A">
        <w:rPr>
          <w:rFonts w:eastAsia="Times New Roman" w:cs="Times New Roman"/>
          <w:sz w:val="20"/>
          <w:szCs w:val="20"/>
        </w:rPr>
        <w:t xml:space="preserve">Neither KABIVEN nor PERIKABIVEN </w:t>
      </w:r>
      <w:r>
        <w:rPr>
          <w:rFonts w:eastAsia="Times New Roman" w:cs="Times New Roman"/>
          <w:sz w:val="20"/>
          <w:szCs w:val="20"/>
        </w:rPr>
        <w:t>are</w:t>
      </w:r>
      <w:r w:rsidRPr="008E7F5A">
        <w:rPr>
          <w:rFonts w:eastAsia="Times New Roman" w:cs="Times New Roman"/>
          <w:sz w:val="20"/>
          <w:szCs w:val="20"/>
        </w:rPr>
        <w:t xml:space="preserve"> recommended for use in pediatric patients &lt;2 years including preterm infants because the fixed content of the formulation does not meet nutritional requirements in this age group.</w:t>
      </w:r>
    </w:p>
    <w:p w14:paraId="585D6A1E" w14:textId="77777777" w:rsidR="00DB1AFC" w:rsidRPr="008E7F5A" w:rsidRDefault="00DB1AFC" w:rsidP="00DB1AFC">
      <w:pPr>
        <w:jc w:val="both"/>
        <w:rPr>
          <w:rFonts w:eastAsia="Times New Roman" w:cs="Times New Roman"/>
          <w:sz w:val="20"/>
          <w:szCs w:val="20"/>
        </w:rPr>
      </w:pPr>
    </w:p>
    <w:p w14:paraId="12BCD858" w14:textId="77777777" w:rsidR="00DB1AFC" w:rsidRPr="008E7F5A" w:rsidRDefault="00DB1AFC" w:rsidP="00DB1AFC">
      <w:pPr>
        <w:jc w:val="both"/>
        <w:rPr>
          <w:rFonts w:eastAsia="Times New Roman" w:cs="Times New Roman"/>
          <w:b/>
          <w:bCs/>
          <w:sz w:val="20"/>
          <w:szCs w:val="20"/>
        </w:rPr>
      </w:pPr>
      <w:r w:rsidRPr="008E7F5A">
        <w:rPr>
          <w:rFonts w:eastAsia="Times New Roman" w:cs="Times New Roman"/>
          <w:b/>
          <w:bCs/>
          <w:sz w:val="20"/>
          <w:szCs w:val="20"/>
        </w:rPr>
        <w:t xml:space="preserve">DOSAGE AND ADMINISTRATION </w:t>
      </w:r>
    </w:p>
    <w:p w14:paraId="71C45A78" w14:textId="77777777" w:rsidR="00DB1AFC" w:rsidRPr="008E7F5A" w:rsidRDefault="00DB1AFC" w:rsidP="00DB1AFC">
      <w:pPr>
        <w:jc w:val="both"/>
        <w:rPr>
          <w:rFonts w:eastAsia="Times New Roman" w:cs="Times New Roman"/>
          <w:sz w:val="20"/>
          <w:szCs w:val="20"/>
        </w:rPr>
      </w:pPr>
      <w:r w:rsidRPr="008E7F5A">
        <w:rPr>
          <w:rFonts w:eastAsia="Times New Roman" w:cs="Times New Roman"/>
          <w:sz w:val="20"/>
          <w:szCs w:val="20"/>
        </w:rPr>
        <w:t>K</w:t>
      </w:r>
      <w:r>
        <w:rPr>
          <w:rFonts w:eastAsia="Times New Roman" w:cs="Times New Roman"/>
          <w:sz w:val="20"/>
          <w:szCs w:val="20"/>
        </w:rPr>
        <w:t>ABIVEN</w:t>
      </w:r>
      <w:r w:rsidRPr="008E7F5A">
        <w:rPr>
          <w:rFonts w:eastAsia="Times New Roman" w:cs="Times New Roman"/>
          <w:sz w:val="20"/>
          <w:szCs w:val="20"/>
        </w:rPr>
        <w:t xml:space="preserve"> is indicated for intravenous infusion into a </w:t>
      </w:r>
      <w:r w:rsidRPr="008E7F5A">
        <w:rPr>
          <w:rFonts w:eastAsia="Times New Roman" w:cs="Times New Roman"/>
          <w:b/>
          <w:sz w:val="20"/>
          <w:szCs w:val="20"/>
        </w:rPr>
        <w:t>central vein</w:t>
      </w:r>
      <w:r w:rsidRPr="008E7F5A">
        <w:rPr>
          <w:rFonts w:eastAsia="Times New Roman" w:cs="Times New Roman"/>
          <w:sz w:val="20"/>
          <w:szCs w:val="20"/>
        </w:rPr>
        <w:t>.  P</w:t>
      </w:r>
      <w:r>
        <w:rPr>
          <w:rFonts w:eastAsia="Times New Roman" w:cs="Times New Roman"/>
          <w:sz w:val="20"/>
          <w:szCs w:val="20"/>
        </w:rPr>
        <w:t>ERIKABIVEN</w:t>
      </w:r>
      <w:r w:rsidRPr="008E7F5A">
        <w:rPr>
          <w:rFonts w:eastAsia="Times New Roman" w:cs="Times New Roman"/>
          <w:sz w:val="20"/>
          <w:szCs w:val="20"/>
        </w:rPr>
        <w:t xml:space="preserve"> is indicated for intravenous infusion into a </w:t>
      </w:r>
      <w:r w:rsidRPr="008E7F5A">
        <w:rPr>
          <w:rFonts w:eastAsia="Times New Roman" w:cs="Times New Roman"/>
          <w:b/>
          <w:sz w:val="20"/>
          <w:szCs w:val="20"/>
        </w:rPr>
        <w:t>peripheral or central vein</w:t>
      </w:r>
      <w:r w:rsidRPr="008E7F5A">
        <w:rPr>
          <w:rFonts w:eastAsia="Times New Roman" w:cs="Times New Roman"/>
          <w:sz w:val="20"/>
          <w:szCs w:val="20"/>
        </w:rPr>
        <w:t>.  It is recommended to mix the contents thoroughly by inverting the bags upside down to ensure a homogenous admixture.  Ensure the vertical seals between chambers are broken and the contents of all three chambers for K</w:t>
      </w:r>
      <w:r>
        <w:rPr>
          <w:rFonts w:eastAsia="Times New Roman" w:cs="Times New Roman"/>
          <w:sz w:val="20"/>
          <w:szCs w:val="20"/>
        </w:rPr>
        <w:t>ABIVEN</w:t>
      </w:r>
      <w:r w:rsidRPr="008E7F5A">
        <w:rPr>
          <w:rFonts w:eastAsia="Times New Roman" w:cs="Times New Roman"/>
          <w:sz w:val="20"/>
          <w:szCs w:val="20"/>
        </w:rPr>
        <w:t xml:space="preserve"> and P</w:t>
      </w:r>
      <w:r>
        <w:rPr>
          <w:rFonts w:eastAsia="Times New Roman" w:cs="Times New Roman"/>
          <w:sz w:val="20"/>
          <w:szCs w:val="20"/>
        </w:rPr>
        <w:t>ERIKABIVEN</w:t>
      </w:r>
      <w:r w:rsidRPr="008E7F5A">
        <w:rPr>
          <w:rFonts w:eastAsia="Times New Roman" w:cs="Times New Roman"/>
          <w:sz w:val="20"/>
          <w:szCs w:val="20"/>
        </w:rPr>
        <w:t xml:space="preserve"> are </w:t>
      </w:r>
      <w:proofErr w:type="gramStart"/>
      <w:r w:rsidRPr="008E7F5A">
        <w:rPr>
          <w:rFonts w:eastAsia="Times New Roman" w:cs="Times New Roman"/>
          <w:sz w:val="20"/>
          <w:szCs w:val="20"/>
        </w:rPr>
        <w:t>mixed together</w:t>
      </w:r>
      <w:proofErr w:type="gramEnd"/>
      <w:r w:rsidRPr="008E7F5A">
        <w:rPr>
          <w:rFonts w:eastAsia="Times New Roman" w:cs="Times New Roman"/>
          <w:sz w:val="20"/>
          <w:szCs w:val="20"/>
        </w:rPr>
        <w:t xml:space="preserve"> prior to infusion.  The dosage of KABIVEN and PERIKABIVEN should be individualized based on the patient’s clinical condition (ability to adequately metabolize amino acids, </w:t>
      </w:r>
      <w:proofErr w:type="gramStart"/>
      <w:r w:rsidRPr="008E7F5A">
        <w:rPr>
          <w:rFonts w:eastAsia="Times New Roman" w:cs="Times New Roman"/>
          <w:sz w:val="20"/>
          <w:szCs w:val="20"/>
        </w:rPr>
        <w:t>dextrose</w:t>
      </w:r>
      <w:proofErr w:type="gramEnd"/>
      <w:r w:rsidRPr="008E7F5A">
        <w:rPr>
          <w:rFonts w:eastAsia="Times New Roman" w:cs="Times New Roman"/>
          <w:sz w:val="20"/>
          <w:szCs w:val="20"/>
        </w:rPr>
        <w:t xml:space="preserve"> and lipids), body weight and nutritional/fluid requirements, as well as additional energy given orally/enterally to the patient.  Prior to administration of K</w:t>
      </w:r>
      <w:r>
        <w:rPr>
          <w:rFonts w:eastAsia="Times New Roman" w:cs="Times New Roman"/>
          <w:sz w:val="20"/>
          <w:szCs w:val="20"/>
        </w:rPr>
        <w:t>ABIVEN</w:t>
      </w:r>
      <w:r w:rsidRPr="008E7F5A">
        <w:rPr>
          <w:rFonts w:eastAsia="Times New Roman" w:cs="Times New Roman"/>
          <w:sz w:val="20"/>
          <w:szCs w:val="20"/>
        </w:rPr>
        <w:t xml:space="preserve"> and P</w:t>
      </w:r>
      <w:r>
        <w:rPr>
          <w:rFonts w:eastAsia="Times New Roman" w:cs="Times New Roman"/>
          <w:sz w:val="20"/>
          <w:szCs w:val="20"/>
        </w:rPr>
        <w:t>ERIKABIVEN</w:t>
      </w:r>
      <w:r w:rsidRPr="008E7F5A">
        <w:rPr>
          <w:rFonts w:eastAsia="Times New Roman" w:cs="Times New Roman"/>
          <w:sz w:val="20"/>
          <w:szCs w:val="20"/>
        </w:rPr>
        <w:t xml:space="preserve">, correct severe fluid, </w:t>
      </w:r>
      <w:proofErr w:type="gramStart"/>
      <w:r w:rsidRPr="008E7F5A">
        <w:rPr>
          <w:rFonts w:eastAsia="Times New Roman" w:cs="Times New Roman"/>
          <w:sz w:val="20"/>
          <w:szCs w:val="20"/>
        </w:rPr>
        <w:t>electrolyte</w:t>
      </w:r>
      <w:proofErr w:type="gramEnd"/>
      <w:r w:rsidRPr="008E7F5A">
        <w:rPr>
          <w:rFonts w:eastAsia="Times New Roman" w:cs="Times New Roman"/>
          <w:sz w:val="20"/>
          <w:szCs w:val="20"/>
        </w:rPr>
        <w:t xml:space="preserve"> and acid-base disorders. Before starting the infusion, obtain serum triglyceride levels to establish the baseline value. The recommended dosage of KABIVEN in adults is 19 to 38 mL/kg/day.  The recommended dosage of PERIKABIVEN in adults is 27 to 40 mL/kg/day.  The maximum daily dosage of </w:t>
      </w:r>
      <w:r w:rsidRPr="002A6FC7">
        <w:rPr>
          <w:rFonts w:eastAsia="Times New Roman" w:cs="Times New Roman"/>
          <w:sz w:val="20"/>
          <w:szCs w:val="20"/>
        </w:rPr>
        <w:t xml:space="preserve">KABIVEN </w:t>
      </w:r>
      <w:r>
        <w:rPr>
          <w:rFonts w:eastAsia="Times New Roman" w:cs="Times New Roman"/>
          <w:sz w:val="20"/>
          <w:szCs w:val="20"/>
        </w:rPr>
        <w:t xml:space="preserve">and </w:t>
      </w:r>
      <w:r w:rsidRPr="008E7F5A">
        <w:rPr>
          <w:rFonts w:eastAsia="Times New Roman" w:cs="Times New Roman"/>
          <w:sz w:val="20"/>
          <w:szCs w:val="20"/>
        </w:rPr>
        <w:t>PERIKABIVEN in adults should not exceed 40 mL/kg/day.</w:t>
      </w:r>
      <w:r>
        <w:rPr>
          <w:rFonts w:eastAsia="Times New Roman" w:cs="Times New Roman"/>
          <w:sz w:val="20"/>
          <w:szCs w:val="20"/>
        </w:rPr>
        <w:t xml:space="preserve"> </w:t>
      </w:r>
      <w:r w:rsidRPr="00C330DD">
        <w:rPr>
          <w:rFonts w:eastAsia="Times New Roman" w:cs="Times New Roman"/>
          <w:sz w:val="20"/>
          <w:szCs w:val="20"/>
        </w:rPr>
        <w:t>Do not exceed the recommended maximum infusion rate of 2.6 mL/kg/hour</w:t>
      </w:r>
      <w:r>
        <w:rPr>
          <w:rFonts w:eastAsia="Times New Roman" w:cs="Times New Roman"/>
          <w:sz w:val="20"/>
          <w:szCs w:val="20"/>
        </w:rPr>
        <w:t xml:space="preserve"> for KABIVEN and </w:t>
      </w:r>
      <w:r w:rsidRPr="00C330DD">
        <w:rPr>
          <w:rFonts w:eastAsia="Times New Roman" w:cs="Times New Roman"/>
          <w:sz w:val="20"/>
          <w:szCs w:val="20"/>
        </w:rPr>
        <w:t>3.7 mL/kg/hour</w:t>
      </w:r>
      <w:r>
        <w:rPr>
          <w:rFonts w:eastAsia="Times New Roman" w:cs="Times New Roman"/>
          <w:sz w:val="20"/>
          <w:szCs w:val="20"/>
        </w:rPr>
        <w:t xml:space="preserve"> for PERIKABIVEN. </w:t>
      </w:r>
    </w:p>
    <w:p w14:paraId="14CF97C5" w14:textId="77777777" w:rsidR="00DB1AFC" w:rsidRPr="008E7F5A" w:rsidRDefault="00DB1AFC" w:rsidP="00DB1AFC">
      <w:pPr>
        <w:jc w:val="both"/>
        <w:rPr>
          <w:rFonts w:eastAsia="Times New Roman" w:cs="Times New Roman"/>
          <w:b/>
          <w:bCs/>
          <w:sz w:val="20"/>
          <w:szCs w:val="20"/>
        </w:rPr>
      </w:pPr>
    </w:p>
    <w:p w14:paraId="7AFE22E0" w14:textId="77777777" w:rsidR="00DB1AFC" w:rsidRPr="008E7F5A" w:rsidRDefault="00DB1AFC" w:rsidP="00DB1AFC">
      <w:pPr>
        <w:jc w:val="both"/>
        <w:rPr>
          <w:rFonts w:eastAsia="Times New Roman" w:cs="Times New Roman"/>
          <w:b/>
          <w:bCs/>
          <w:sz w:val="20"/>
          <w:szCs w:val="20"/>
        </w:rPr>
      </w:pPr>
      <w:r w:rsidRPr="008E7F5A">
        <w:rPr>
          <w:rFonts w:eastAsia="Times New Roman" w:cs="Times New Roman"/>
          <w:b/>
          <w:bCs/>
          <w:sz w:val="20"/>
          <w:szCs w:val="20"/>
        </w:rPr>
        <w:t>CONTRAINDICATIONS</w:t>
      </w:r>
    </w:p>
    <w:p w14:paraId="028CE211" w14:textId="77777777" w:rsidR="00DB1AFC" w:rsidRDefault="00DB1AFC" w:rsidP="00DB1AFC">
      <w:pPr>
        <w:jc w:val="both"/>
        <w:rPr>
          <w:rFonts w:eastAsia="Times New Roman" w:cs="Times New Roman"/>
          <w:bCs/>
          <w:sz w:val="20"/>
          <w:szCs w:val="20"/>
        </w:rPr>
      </w:pPr>
      <w:r w:rsidRPr="008E7F5A">
        <w:rPr>
          <w:rFonts w:eastAsia="Times New Roman" w:cs="Times New Roman"/>
          <w:bCs/>
          <w:sz w:val="20"/>
          <w:szCs w:val="20"/>
        </w:rPr>
        <w:t xml:space="preserve">KABIVEN and PERIKABIVEN </w:t>
      </w:r>
      <w:r>
        <w:rPr>
          <w:rFonts w:eastAsia="Times New Roman" w:cs="Times New Roman"/>
          <w:bCs/>
          <w:sz w:val="20"/>
          <w:szCs w:val="20"/>
        </w:rPr>
        <w:t>are</w:t>
      </w:r>
      <w:r w:rsidRPr="008E7F5A">
        <w:rPr>
          <w:rFonts w:eastAsia="Times New Roman" w:cs="Times New Roman"/>
          <w:bCs/>
          <w:sz w:val="20"/>
          <w:szCs w:val="20"/>
        </w:rPr>
        <w:t xml:space="preserve"> contraindicated in</w:t>
      </w:r>
      <w:r>
        <w:rPr>
          <w:rFonts w:eastAsia="Times New Roman" w:cs="Times New Roman"/>
          <w:bCs/>
          <w:sz w:val="20"/>
          <w:szCs w:val="20"/>
        </w:rPr>
        <w:t>:</w:t>
      </w:r>
      <w:r w:rsidRPr="008E7F5A">
        <w:rPr>
          <w:rFonts w:eastAsia="Times New Roman" w:cs="Times New Roman"/>
          <w:bCs/>
          <w:sz w:val="20"/>
          <w:szCs w:val="20"/>
        </w:rPr>
        <w:t xml:space="preserve"> </w:t>
      </w:r>
    </w:p>
    <w:p w14:paraId="71C94EDC"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sidRPr="00483BE8">
        <w:rPr>
          <w:rFonts w:eastAsia="Times New Roman" w:cs="Times New Roman"/>
          <w:bCs/>
          <w:sz w:val="20"/>
          <w:szCs w:val="20"/>
        </w:rPr>
        <w:t>Neonates (28 days of age or younger) receiving concomitant treatment with ceftriaxone, even if separate infusion lines are used, due to the risk of fatal ceftriaxone calcium salt precipitation in the neonate’s bloodstream.</w:t>
      </w:r>
    </w:p>
    <w:p w14:paraId="52E33FF7"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sidRPr="00483BE8">
        <w:rPr>
          <w:rFonts w:eastAsia="Times New Roman" w:cs="Times New Roman"/>
          <w:bCs/>
          <w:sz w:val="20"/>
          <w:szCs w:val="20"/>
        </w:rPr>
        <w:t xml:space="preserve">Patients with known hypersensitivity to egg, soybean, </w:t>
      </w:r>
      <w:proofErr w:type="gramStart"/>
      <w:r w:rsidRPr="00483BE8">
        <w:rPr>
          <w:rFonts w:eastAsia="Times New Roman" w:cs="Times New Roman"/>
          <w:bCs/>
          <w:sz w:val="20"/>
          <w:szCs w:val="20"/>
        </w:rPr>
        <w:t>peanut</w:t>
      </w:r>
      <w:proofErr w:type="gramEnd"/>
      <w:r w:rsidRPr="00483BE8">
        <w:rPr>
          <w:rFonts w:eastAsia="Times New Roman" w:cs="Times New Roman"/>
          <w:bCs/>
          <w:sz w:val="20"/>
          <w:szCs w:val="20"/>
        </w:rPr>
        <w:t xml:space="preserve"> or any of the active </w:t>
      </w:r>
      <w:r>
        <w:rPr>
          <w:rFonts w:eastAsia="Times New Roman" w:cs="Times New Roman"/>
          <w:bCs/>
          <w:sz w:val="20"/>
          <w:szCs w:val="20"/>
        </w:rPr>
        <w:t>or inactive ingredients</w:t>
      </w:r>
      <w:r w:rsidRPr="00483BE8">
        <w:rPr>
          <w:rFonts w:eastAsia="Times New Roman" w:cs="Times New Roman"/>
          <w:bCs/>
          <w:sz w:val="20"/>
          <w:szCs w:val="20"/>
        </w:rPr>
        <w:t xml:space="preserve">. </w:t>
      </w:r>
    </w:p>
    <w:p w14:paraId="7319C2D1"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sidRPr="00483BE8">
        <w:rPr>
          <w:rFonts w:eastAsia="Times New Roman" w:cs="Times New Roman"/>
          <w:bCs/>
          <w:sz w:val="20"/>
          <w:szCs w:val="20"/>
        </w:rPr>
        <w:t xml:space="preserve">Patients with severe disorders of lipid metabolism characterized by hypertriglyceridemia (serum triglyceride concentration &gt;1,000 g/dL).  </w:t>
      </w:r>
    </w:p>
    <w:p w14:paraId="3E53AED5"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Pr>
          <w:rFonts w:eastAsia="Times New Roman" w:cs="Times New Roman"/>
          <w:bCs/>
          <w:sz w:val="20"/>
          <w:szCs w:val="20"/>
        </w:rPr>
        <w:t>Patients with i</w:t>
      </w:r>
      <w:r w:rsidRPr="00483BE8">
        <w:rPr>
          <w:rFonts w:eastAsia="Times New Roman" w:cs="Times New Roman"/>
          <w:bCs/>
          <w:sz w:val="20"/>
          <w:szCs w:val="20"/>
        </w:rPr>
        <w:t xml:space="preserve">nborn errors of amino acid metabolism.  </w:t>
      </w:r>
    </w:p>
    <w:p w14:paraId="2B66F23A"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sidRPr="00483BE8">
        <w:rPr>
          <w:rFonts w:eastAsia="Times New Roman" w:cs="Times New Roman"/>
          <w:bCs/>
          <w:sz w:val="20"/>
          <w:szCs w:val="20"/>
        </w:rPr>
        <w:t xml:space="preserve">Patients with cardiopulmonary instability (including pulmonary edema, cardiac insufficiency, myocardial infarction, </w:t>
      </w:r>
      <w:proofErr w:type="gramStart"/>
      <w:r w:rsidRPr="00483BE8">
        <w:rPr>
          <w:rFonts w:eastAsia="Times New Roman" w:cs="Times New Roman"/>
          <w:bCs/>
          <w:sz w:val="20"/>
          <w:szCs w:val="20"/>
        </w:rPr>
        <w:t>acidosis</w:t>
      </w:r>
      <w:proofErr w:type="gramEnd"/>
      <w:r w:rsidRPr="00483BE8">
        <w:rPr>
          <w:rFonts w:eastAsia="Times New Roman" w:cs="Times New Roman"/>
          <w:bCs/>
          <w:sz w:val="20"/>
          <w:szCs w:val="20"/>
        </w:rPr>
        <w:t xml:space="preserve"> and hemodynamic instability requiring significant vasopressor support).  </w:t>
      </w:r>
    </w:p>
    <w:p w14:paraId="27677489" w14:textId="77777777" w:rsidR="00DB1AFC" w:rsidRPr="00483BE8" w:rsidRDefault="00DB1AFC" w:rsidP="00DB1AFC">
      <w:pPr>
        <w:pStyle w:val="ListParagraph"/>
        <w:numPr>
          <w:ilvl w:val="0"/>
          <w:numId w:val="8"/>
        </w:numPr>
        <w:spacing w:after="0" w:line="240" w:lineRule="auto"/>
        <w:jc w:val="both"/>
        <w:rPr>
          <w:rFonts w:eastAsia="Times New Roman" w:cs="Times New Roman"/>
          <w:bCs/>
          <w:sz w:val="20"/>
          <w:szCs w:val="20"/>
        </w:rPr>
      </w:pPr>
      <w:r w:rsidRPr="00483BE8">
        <w:rPr>
          <w:rFonts w:eastAsia="Times New Roman" w:cs="Times New Roman"/>
          <w:bCs/>
          <w:sz w:val="20"/>
          <w:szCs w:val="20"/>
        </w:rPr>
        <w:t xml:space="preserve">Patients with </w:t>
      </w:r>
      <w:r>
        <w:rPr>
          <w:rFonts w:eastAsia="Times New Roman" w:cs="Times New Roman"/>
          <w:bCs/>
          <w:sz w:val="20"/>
          <w:szCs w:val="20"/>
        </w:rPr>
        <w:t>h</w:t>
      </w:r>
      <w:r w:rsidRPr="00483BE8">
        <w:rPr>
          <w:rFonts w:eastAsia="Times New Roman" w:cs="Times New Roman"/>
          <w:bCs/>
          <w:sz w:val="20"/>
          <w:szCs w:val="20"/>
        </w:rPr>
        <w:t>emophagocytic syndrome.</w:t>
      </w:r>
    </w:p>
    <w:p w14:paraId="46EE80F7" w14:textId="77777777" w:rsidR="00DB1AFC" w:rsidRPr="008E7F5A" w:rsidRDefault="00DB1AFC" w:rsidP="00DB1AFC">
      <w:pPr>
        <w:jc w:val="both"/>
        <w:rPr>
          <w:rFonts w:eastAsia="Times New Roman" w:cs="Times New Roman"/>
          <w:sz w:val="20"/>
          <w:szCs w:val="20"/>
        </w:rPr>
      </w:pPr>
    </w:p>
    <w:p w14:paraId="46D64B5D" w14:textId="77777777" w:rsidR="00DB1AFC" w:rsidRPr="008E7F5A" w:rsidRDefault="00DB1AFC" w:rsidP="00DB1AFC">
      <w:pPr>
        <w:jc w:val="both"/>
        <w:rPr>
          <w:rFonts w:eastAsia="Times New Roman" w:cs="Times New Roman"/>
          <w:b/>
          <w:bCs/>
          <w:sz w:val="20"/>
          <w:szCs w:val="20"/>
        </w:rPr>
      </w:pPr>
      <w:r w:rsidRPr="008E7F5A">
        <w:rPr>
          <w:rFonts w:eastAsia="Times New Roman" w:cs="Times New Roman"/>
          <w:b/>
          <w:bCs/>
          <w:sz w:val="20"/>
          <w:szCs w:val="20"/>
        </w:rPr>
        <w:t xml:space="preserve">WARNINGS AND PRECAUTIONS </w:t>
      </w:r>
    </w:p>
    <w:p w14:paraId="2615FB24" w14:textId="77777777" w:rsidR="00DB1AFC" w:rsidRPr="00C72195" w:rsidRDefault="00DB1AFC" w:rsidP="00DB1AFC">
      <w:pPr>
        <w:pStyle w:val="ListParagraph"/>
        <w:numPr>
          <w:ilvl w:val="0"/>
          <w:numId w:val="4"/>
        </w:numPr>
        <w:autoSpaceDE w:val="0"/>
        <w:autoSpaceDN w:val="0"/>
        <w:adjustRightInd w:val="0"/>
        <w:spacing w:after="0" w:line="240" w:lineRule="auto"/>
        <w:jc w:val="both"/>
        <w:rPr>
          <w:rFonts w:eastAsia="Times New Roman" w:cs="Times New Roman"/>
          <w:b/>
          <w:bCs/>
          <w:sz w:val="20"/>
          <w:szCs w:val="20"/>
        </w:rPr>
      </w:pPr>
      <w:r w:rsidRPr="00043F25">
        <w:rPr>
          <w:rFonts w:eastAsia="Times New Roman" w:cs="Times New Roman"/>
          <w:sz w:val="20"/>
          <w:szCs w:val="20"/>
        </w:rPr>
        <w:t xml:space="preserve">Clinical Decompensation with Rapid Infusion of Lipid </w:t>
      </w:r>
      <w:r>
        <w:rPr>
          <w:rFonts w:eastAsia="Times New Roman" w:cs="Times New Roman"/>
          <w:sz w:val="20"/>
          <w:szCs w:val="20"/>
        </w:rPr>
        <w:t xml:space="preserve">Injectable </w:t>
      </w:r>
      <w:r w:rsidRPr="00043F25">
        <w:rPr>
          <w:rFonts w:eastAsia="Times New Roman" w:cs="Times New Roman"/>
          <w:sz w:val="20"/>
          <w:szCs w:val="20"/>
        </w:rPr>
        <w:t>Emulsion</w:t>
      </w:r>
      <w:r>
        <w:rPr>
          <w:rFonts w:eastAsia="Times New Roman" w:cs="Times New Roman"/>
          <w:sz w:val="20"/>
          <w:szCs w:val="20"/>
        </w:rPr>
        <w:t>s</w:t>
      </w:r>
      <w:r w:rsidRPr="00043F25">
        <w:rPr>
          <w:rFonts w:eastAsia="Times New Roman" w:cs="Times New Roman"/>
          <w:sz w:val="20"/>
          <w:szCs w:val="20"/>
        </w:rPr>
        <w:t xml:space="preserve"> in Neonates and</w:t>
      </w:r>
      <w:r w:rsidRPr="00C72195">
        <w:rPr>
          <w:rFonts w:eastAsia="Times New Roman" w:cs="Times New Roman"/>
          <w:sz w:val="20"/>
          <w:szCs w:val="20"/>
        </w:rPr>
        <w:t xml:space="preserve"> </w:t>
      </w:r>
      <w:r w:rsidRPr="00043F25">
        <w:rPr>
          <w:rFonts w:eastAsia="Times New Roman" w:cs="Times New Roman"/>
          <w:sz w:val="20"/>
          <w:szCs w:val="20"/>
        </w:rPr>
        <w:t>Infants</w:t>
      </w:r>
      <w:r w:rsidRPr="00C72195">
        <w:rPr>
          <w:rFonts w:eastAsia="Times New Roman" w:cs="Times New Roman"/>
          <w:sz w:val="20"/>
          <w:szCs w:val="20"/>
        </w:rPr>
        <w:t xml:space="preserve">: In the </w:t>
      </w:r>
      <w:proofErr w:type="spellStart"/>
      <w:r w:rsidRPr="00C72195">
        <w:rPr>
          <w:rFonts w:eastAsia="Times New Roman" w:cs="Times New Roman"/>
          <w:sz w:val="20"/>
          <w:szCs w:val="20"/>
        </w:rPr>
        <w:t>postmarketing</w:t>
      </w:r>
      <w:proofErr w:type="spellEnd"/>
      <w:r w:rsidRPr="00C72195">
        <w:rPr>
          <w:rFonts w:eastAsia="Times New Roman" w:cs="Times New Roman"/>
          <w:sz w:val="20"/>
          <w:szCs w:val="20"/>
        </w:rPr>
        <w:t xml:space="preserve"> setting, serious adverse reactions including acute respiratory distress, metabolic acidosis, and death have been reported in neonates and infants after rapid infusion of lipid</w:t>
      </w:r>
      <w:r>
        <w:rPr>
          <w:rFonts w:eastAsia="Times New Roman" w:cs="Times New Roman"/>
          <w:sz w:val="20"/>
          <w:szCs w:val="20"/>
        </w:rPr>
        <w:t xml:space="preserve"> injectable</w:t>
      </w:r>
      <w:r w:rsidRPr="00C72195">
        <w:rPr>
          <w:rFonts w:eastAsia="Times New Roman" w:cs="Times New Roman"/>
          <w:sz w:val="20"/>
          <w:szCs w:val="20"/>
        </w:rPr>
        <w:t xml:space="preserve"> emulsions. Hypertriglyceridemia was commonly reported. Preterm and small for gestational age infants have poor clearance of lipid </w:t>
      </w:r>
      <w:r>
        <w:rPr>
          <w:rFonts w:eastAsia="Times New Roman" w:cs="Times New Roman"/>
          <w:sz w:val="20"/>
          <w:szCs w:val="20"/>
        </w:rPr>
        <w:t xml:space="preserve">injectable </w:t>
      </w:r>
      <w:r w:rsidRPr="00C72195">
        <w:rPr>
          <w:rFonts w:eastAsia="Times New Roman" w:cs="Times New Roman"/>
          <w:sz w:val="20"/>
          <w:szCs w:val="20"/>
        </w:rPr>
        <w:t>emulsion</w:t>
      </w:r>
      <w:r>
        <w:rPr>
          <w:rFonts w:eastAsia="Times New Roman" w:cs="Times New Roman"/>
          <w:sz w:val="20"/>
          <w:szCs w:val="20"/>
        </w:rPr>
        <w:t>s</w:t>
      </w:r>
      <w:r w:rsidRPr="00C72195">
        <w:rPr>
          <w:rFonts w:eastAsia="Times New Roman" w:cs="Times New Roman"/>
          <w:sz w:val="20"/>
          <w:szCs w:val="20"/>
        </w:rPr>
        <w:t xml:space="preserve"> and increased free fatty acid plasma levels following infusion.</w:t>
      </w:r>
    </w:p>
    <w:p w14:paraId="34504B14" w14:textId="77777777" w:rsidR="00DB1AFC" w:rsidRPr="008E7F5A" w:rsidRDefault="00DB1AFC" w:rsidP="00DB1AFC">
      <w:pPr>
        <w:jc w:val="both"/>
        <w:rPr>
          <w:rFonts w:eastAsia="Times New Roman" w:cs="Times New Roman"/>
          <w:b/>
          <w:bCs/>
          <w:sz w:val="20"/>
          <w:szCs w:val="20"/>
        </w:rPr>
      </w:pPr>
    </w:p>
    <w:p w14:paraId="075CFE2F" w14:textId="77777777" w:rsidR="00DB1AFC" w:rsidRDefault="00DB1AFC" w:rsidP="00DB1AFC">
      <w:pPr>
        <w:pStyle w:val="ListParagraph"/>
        <w:numPr>
          <w:ilvl w:val="0"/>
          <w:numId w:val="4"/>
        </w:numPr>
        <w:spacing w:after="0" w:line="240" w:lineRule="auto"/>
        <w:jc w:val="both"/>
        <w:rPr>
          <w:rFonts w:eastAsia="Times New Roman" w:cs="Times New Roman"/>
          <w:bCs/>
          <w:sz w:val="20"/>
          <w:szCs w:val="20"/>
        </w:rPr>
      </w:pPr>
      <w:r>
        <w:rPr>
          <w:rFonts w:eastAsia="Times New Roman" w:cs="Times New Roman"/>
          <w:bCs/>
          <w:sz w:val="20"/>
          <w:szCs w:val="20"/>
        </w:rPr>
        <w:t xml:space="preserve">Parenteral Nutrition-Associated Liver Disease and Other Hepatobiliary Disorders:  </w:t>
      </w:r>
    </w:p>
    <w:p w14:paraId="1590023B" w14:textId="77777777" w:rsidR="00DB1AFC" w:rsidRPr="001D1E32" w:rsidRDefault="00DB1AFC" w:rsidP="00DB1AFC">
      <w:pPr>
        <w:ind w:left="432"/>
        <w:jc w:val="both"/>
        <w:rPr>
          <w:rFonts w:eastAsia="Times New Roman" w:cs="Times New Roman"/>
          <w:bCs/>
          <w:sz w:val="20"/>
          <w:szCs w:val="20"/>
        </w:rPr>
      </w:pPr>
      <w:r w:rsidRPr="001D1E32">
        <w:rPr>
          <w:rFonts w:eastAsia="Times New Roman" w:cs="Times New Roman"/>
          <w:bCs/>
          <w:sz w:val="20"/>
          <w:szCs w:val="20"/>
          <w:u w:val="single"/>
        </w:rPr>
        <w:lastRenderedPageBreak/>
        <w:t>Risk of Parenteral Nutrition</w:t>
      </w:r>
      <w:r>
        <w:rPr>
          <w:rFonts w:eastAsia="Times New Roman" w:cs="Times New Roman"/>
          <w:bCs/>
          <w:sz w:val="20"/>
          <w:szCs w:val="20"/>
          <w:u w:val="single"/>
        </w:rPr>
        <w:t>-</w:t>
      </w:r>
      <w:r w:rsidRPr="001D1E32">
        <w:rPr>
          <w:rFonts w:eastAsia="Times New Roman" w:cs="Times New Roman"/>
          <w:bCs/>
          <w:sz w:val="20"/>
          <w:szCs w:val="20"/>
          <w:u w:val="single"/>
        </w:rPr>
        <w:t>Associated Liver Disease</w:t>
      </w:r>
      <w:r w:rsidRPr="001D1E32">
        <w:rPr>
          <w:rFonts w:eastAsia="Times New Roman" w:cs="Times New Roman"/>
          <w:bCs/>
          <w:sz w:val="20"/>
          <w:szCs w:val="20"/>
        </w:rPr>
        <w:t>:  Parenteral nutrition-associated liver disease (PNALD), also referred to as intestinal failure-associated liver disease (IFALD), can present as cholestasis or hepatic steatosis, and may progress to steatohepatitis with fibrosis and cirrhosis (possibly leading to chronic hepatic failure).  The etiology of PNALD is multifactorial; however, intravenously administered phytosterols (plant sterols) contained in plant-derived lipid emulsions, such as Intralipid (included in KABIVEN and PERIKABIVEN) have been associated with development of PNALD.</w:t>
      </w:r>
    </w:p>
    <w:p w14:paraId="50B24AE7" w14:textId="77777777" w:rsidR="00DB1AFC" w:rsidRPr="001D1E32" w:rsidRDefault="00DB1AFC" w:rsidP="00DB1AFC">
      <w:pPr>
        <w:pStyle w:val="ListParagraph"/>
        <w:spacing w:after="0" w:line="240" w:lineRule="auto"/>
        <w:rPr>
          <w:rFonts w:eastAsia="Times New Roman" w:cs="Times New Roman"/>
          <w:bCs/>
          <w:sz w:val="20"/>
          <w:szCs w:val="20"/>
        </w:rPr>
      </w:pPr>
    </w:p>
    <w:p w14:paraId="62F065F8" w14:textId="77777777" w:rsidR="00DB1AFC" w:rsidRDefault="00DB1AFC" w:rsidP="00DB1AFC">
      <w:pPr>
        <w:ind w:left="432"/>
        <w:jc w:val="both"/>
        <w:rPr>
          <w:rFonts w:eastAsia="Times New Roman" w:cs="Times New Roman"/>
          <w:bCs/>
          <w:sz w:val="20"/>
          <w:szCs w:val="20"/>
        </w:rPr>
      </w:pPr>
      <w:r>
        <w:rPr>
          <w:rFonts w:eastAsia="Times New Roman" w:cs="Times New Roman"/>
          <w:bCs/>
          <w:sz w:val="20"/>
          <w:szCs w:val="20"/>
        </w:rPr>
        <w:t>In a randomized study of neonates and infants expected to be treated with PN for at least 28 days, parenteral nutrition-associated cholestasis (PNAC), a precursor to PNALD, developed more frequently in Intralipid-treated patients than in patients treated with a 4-oil mixed lipid emulsion.</w:t>
      </w:r>
    </w:p>
    <w:p w14:paraId="3B84C412" w14:textId="77777777" w:rsidR="00DB1AFC" w:rsidRDefault="00DB1AFC" w:rsidP="00DB1AFC">
      <w:pPr>
        <w:ind w:left="432"/>
        <w:jc w:val="both"/>
        <w:rPr>
          <w:rFonts w:eastAsia="Times New Roman" w:cs="Times New Roman"/>
          <w:bCs/>
          <w:sz w:val="20"/>
          <w:szCs w:val="20"/>
        </w:rPr>
      </w:pPr>
    </w:p>
    <w:p w14:paraId="6F62AC5F" w14:textId="77777777" w:rsidR="00DB1AFC" w:rsidRDefault="00DB1AFC" w:rsidP="00DB1AFC">
      <w:pPr>
        <w:ind w:left="432"/>
        <w:jc w:val="both"/>
        <w:rPr>
          <w:rFonts w:eastAsia="Times New Roman" w:cs="Times New Roman"/>
          <w:bCs/>
          <w:sz w:val="20"/>
          <w:szCs w:val="20"/>
        </w:rPr>
      </w:pPr>
      <w:r>
        <w:rPr>
          <w:rFonts w:eastAsia="Times New Roman" w:cs="Times New Roman"/>
          <w:bCs/>
          <w:sz w:val="20"/>
          <w:szCs w:val="20"/>
        </w:rPr>
        <w:t>Monitor liver tests in patients treated with KABIVEN and PERIKABIVEN and consider discontinuation or dosage reduction if abnormalities occur.</w:t>
      </w:r>
    </w:p>
    <w:p w14:paraId="377B9D71" w14:textId="77777777" w:rsidR="00DB1AFC" w:rsidRDefault="00DB1AFC" w:rsidP="00DB1AFC">
      <w:pPr>
        <w:ind w:left="432"/>
        <w:jc w:val="both"/>
        <w:rPr>
          <w:rFonts w:eastAsia="Times New Roman" w:cs="Times New Roman"/>
          <w:bCs/>
          <w:sz w:val="20"/>
          <w:szCs w:val="20"/>
        </w:rPr>
      </w:pPr>
    </w:p>
    <w:p w14:paraId="1C53C54E" w14:textId="77777777" w:rsidR="00DB1AFC" w:rsidRDefault="00DB1AFC" w:rsidP="00DB1AFC">
      <w:pPr>
        <w:ind w:left="432"/>
        <w:jc w:val="both"/>
        <w:rPr>
          <w:rFonts w:eastAsia="Times New Roman" w:cs="Times New Roman"/>
          <w:bCs/>
          <w:sz w:val="20"/>
          <w:szCs w:val="20"/>
        </w:rPr>
      </w:pPr>
      <w:r w:rsidRPr="001D1E32">
        <w:rPr>
          <w:rFonts w:eastAsia="Times New Roman" w:cs="Times New Roman"/>
          <w:bCs/>
          <w:sz w:val="20"/>
          <w:szCs w:val="20"/>
          <w:u w:val="single"/>
        </w:rPr>
        <w:t>Other Hepatobiliary Disorders</w:t>
      </w:r>
      <w:r>
        <w:rPr>
          <w:rFonts w:eastAsia="Times New Roman" w:cs="Times New Roman"/>
          <w:bCs/>
          <w:sz w:val="20"/>
          <w:szCs w:val="20"/>
        </w:rPr>
        <w:t>:</w:t>
      </w:r>
    </w:p>
    <w:p w14:paraId="54C4FF3A" w14:textId="77777777" w:rsidR="00DB1AFC" w:rsidRPr="001D1E32" w:rsidRDefault="00DB1AFC" w:rsidP="00DB1AFC">
      <w:pPr>
        <w:ind w:left="432"/>
        <w:jc w:val="both"/>
        <w:rPr>
          <w:rFonts w:eastAsia="Times New Roman" w:cs="Times New Roman"/>
          <w:bCs/>
          <w:sz w:val="20"/>
          <w:szCs w:val="20"/>
        </w:rPr>
      </w:pPr>
      <w:r>
        <w:rPr>
          <w:rFonts w:eastAsia="Times New Roman" w:cs="Times New Roman"/>
          <w:bCs/>
          <w:sz w:val="20"/>
          <w:szCs w:val="20"/>
        </w:rPr>
        <w:t>Hepatobiliary disorders including cholecystitis and cholelithiasis have developed in some PN-treated patients without preexisting liver disease.  Monitor liver tests when administering KABIVEN and PERIKABIVEN.  Patients developing signs of hepatobiliary disorders should be assessed early to determine whether these conditions are related to KABIVEN or PERIKABIVEN use.</w:t>
      </w:r>
    </w:p>
    <w:p w14:paraId="24802F43" w14:textId="77777777" w:rsidR="00DB1AFC" w:rsidRPr="001D1E32" w:rsidRDefault="00DB1AFC" w:rsidP="00DB1AFC">
      <w:pPr>
        <w:pStyle w:val="ListParagraph"/>
        <w:rPr>
          <w:rFonts w:eastAsia="Times New Roman" w:cs="Times New Roman"/>
          <w:bCs/>
          <w:sz w:val="20"/>
          <w:szCs w:val="20"/>
        </w:rPr>
      </w:pPr>
    </w:p>
    <w:p w14:paraId="64A1D2FD" w14:textId="77777777" w:rsidR="00DB1AFC" w:rsidRDefault="00DB1AFC" w:rsidP="00DB1AFC">
      <w:pPr>
        <w:pStyle w:val="ListParagraph"/>
        <w:numPr>
          <w:ilvl w:val="0"/>
          <w:numId w:val="4"/>
        </w:numPr>
        <w:spacing w:after="0" w:line="240" w:lineRule="auto"/>
        <w:jc w:val="both"/>
        <w:rPr>
          <w:rFonts w:eastAsia="Times New Roman" w:cs="Times New Roman"/>
          <w:bCs/>
          <w:sz w:val="20"/>
          <w:szCs w:val="20"/>
        </w:rPr>
      </w:pPr>
      <w:r>
        <w:rPr>
          <w:rFonts w:eastAsia="Times New Roman" w:cs="Times New Roman"/>
          <w:bCs/>
          <w:sz w:val="20"/>
          <w:szCs w:val="20"/>
        </w:rPr>
        <w:t xml:space="preserve">Pulmonary Embolism and Respiratory Distress due to Pulmonary Vascular Precipitates: </w:t>
      </w:r>
      <w:r w:rsidRPr="006B7DF0">
        <w:rPr>
          <w:rFonts w:eastAsia="Times New Roman" w:cs="Times New Roman"/>
          <w:bCs/>
          <w:sz w:val="20"/>
          <w:szCs w:val="20"/>
        </w:rPr>
        <w:t xml:space="preserve">Pulmonary vascular precipitates causing pulmonary emboli </w:t>
      </w:r>
      <w:r>
        <w:rPr>
          <w:rFonts w:eastAsia="Times New Roman" w:cs="Times New Roman"/>
          <w:bCs/>
          <w:sz w:val="20"/>
          <w:szCs w:val="20"/>
        </w:rPr>
        <w:t xml:space="preserve">(including some fatalities) </w:t>
      </w:r>
      <w:r w:rsidRPr="006B7DF0">
        <w:rPr>
          <w:rFonts w:eastAsia="Times New Roman" w:cs="Times New Roman"/>
          <w:bCs/>
          <w:sz w:val="20"/>
          <w:szCs w:val="20"/>
        </w:rPr>
        <w:t xml:space="preserve">and </w:t>
      </w:r>
      <w:r>
        <w:rPr>
          <w:rFonts w:eastAsia="Times New Roman" w:cs="Times New Roman"/>
          <w:bCs/>
          <w:sz w:val="20"/>
          <w:szCs w:val="20"/>
        </w:rPr>
        <w:t>respiratory</w:t>
      </w:r>
      <w:r w:rsidRPr="006B7DF0">
        <w:rPr>
          <w:rFonts w:eastAsia="Times New Roman" w:cs="Times New Roman"/>
          <w:bCs/>
          <w:sz w:val="20"/>
          <w:szCs w:val="20"/>
        </w:rPr>
        <w:t xml:space="preserve"> distress have been reported in patients receiving </w:t>
      </w:r>
      <w:r>
        <w:rPr>
          <w:rFonts w:eastAsia="Times New Roman" w:cs="Times New Roman"/>
          <w:bCs/>
          <w:sz w:val="20"/>
          <w:szCs w:val="20"/>
        </w:rPr>
        <w:t>PN</w:t>
      </w:r>
      <w:r w:rsidRPr="006B7DF0">
        <w:rPr>
          <w:rFonts w:eastAsia="Times New Roman" w:cs="Times New Roman"/>
          <w:bCs/>
          <w:sz w:val="20"/>
          <w:szCs w:val="20"/>
        </w:rPr>
        <w:t xml:space="preserve">. </w:t>
      </w:r>
    </w:p>
    <w:p w14:paraId="2F280FD9" w14:textId="77777777" w:rsidR="00DB1AFC" w:rsidRDefault="00DB1AFC" w:rsidP="00DB1AFC">
      <w:pPr>
        <w:ind w:left="432"/>
        <w:jc w:val="both"/>
        <w:rPr>
          <w:rFonts w:eastAsia="Times New Roman" w:cs="Times New Roman"/>
          <w:bCs/>
          <w:sz w:val="20"/>
          <w:szCs w:val="20"/>
        </w:rPr>
      </w:pPr>
    </w:p>
    <w:p w14:paraId="2EF4CCCD" w14:textId="77777777" w:rsidR="00DB1AFC" w:rsidRDefault="00DB1AFC" w:rsidP="00DB1AFC">
      <w:pPr>
        <w:ind w:left="432"/>
        <w:jc w:val="both"/>
        <w:rPr>
          <w:rFonts w:eastAsia="Times New Roman" w:cs="Times New Roman"/>
          <w:bCs/>
          <w:sz w:val="20"/>
          <w:szCs w:val="20"/>
        </w:rPr>
      </w:pPr>
      <w:r>
        <w:rPr>
          <w:rFonts w:eastAsia="Times New Roman" w:cs="Times New Roman"/>
          <w:bCs/>
          <w:sz w:val="20"/>
          <w:szCs w:val="20"/>
        </w:rPr>
        <w:t xml:space="preserve">Excessive addition of calcium and phosphate increases the risk of the formation of calcium phosphate precipitates; however, precipitates have been reported even in the absence of phosphate salt in the solution.  Precipitation following passage through an in-line filter and suspected in vivo precipitate formation has also been reported.   Visually inspect the prepared solution, the infusion set, and the catheter for precipitates, prior to administration as well as periodically during the administration.  If signs of respiratory </w:t>
      </w:r>
      <w:r w:rsidRPr="001D1E32">
        <w:rPr>
          <w:rFonts w:eastAsia="Times New Roman" w:cs="Times New Roman"/>
          <w:bCs/>
          <w:sz w:val="20"/>
          <w:szCs w:val="20"/>
        </w:rPr>
        <w:t xml:space="preserve">distress </w:t>
      </w:r>
      <w:r>
        <w:rPr>
          <w:rFonts w:eastAsia="Times New Roman" w:cs="Times New Roman"/>
          <w:bCs/>
          <w:sz w:val="20"/>
          <w:szCs w:val="20"/>
        </w:rPr>
        <w:t xml:space="preserve">or pulmonary embolism </w:t>
      </w:r>
      <w:r w:rsidRPr="001D1E32">
        <w:rPr>
          <w:rFonts w:eastAsia="Times New Roman" w:cs="Times New Roman"/>
          <w:bCs/>
          <w:sz w:val="20"/>
          <w:szCs w:val="20"/>
        </w:rPr>
        <w:t xml:space="preserve">occur, stop the </w:t>
      </w:r>
      <w:proofErr w:type="gramStart"/>
      <w:r w:rsidRPr="00BD1F8D">
        <w:rPr>
          <w:rFonts w:eastAsia="Times New Roman" w:cs="Times New Roman"/>
          <w:bCs/>
          <w:sz w:val="20"/>
          <w:szCs w:val="20"/>
        </w:rPr>
        <w:t>infusion</w:t>
      </w:r>
      <w:proofErr w:type="gramEnd"/>
      <w:r>
        <w:rPr>
          <w:rFonts w:eastAsia="Times New Roman" w:cs="Times New Roman"/>
          <w:bCs/>
          <w:sz w:val="20"/>
          <w:szCs w:val="20"/>
        </w:rPr>
        <w:t xml:space="preserve"> </w:t>
      </w:r>
      <w:r w:rsidRPr="001D1E32">
        <w:rPr>
          <w:rFonts w:eastAsia="Times New Roman" w:cs="Times New Roman"/>
          <w:bCs/>
          <w:sz w:val="20"/>
          <w:szCs w:val="20"/>
        </w:rPr>
        <w:t xml:space="preserve">and initiate a medical evaluation. </w:t>
      </w:r>
    </w:p>
    <w:p w14:paraId="0061AD91" w14:textId="77777777" w:rsidR="00DB1AFC" w:rsidRPr="001D1E32" w:rsidRDefault="00DB1AFC" w:rsidP="00DB1AFC">
      <w:pPr>
        <w:ind w:left="432"/>
        <w:jc w:val="both"/>
        <w:rPr>
          <w:rFonts w:eastAsia="Times New Roman" w:cs="Times New Roman"/>
          <w:bCs/>
          <w:sz w:val="20"/>
          <w:szCs w:val="20"/>
        </w:rPr>
      </w:pPr>
    </w:p>
    <w:p w14:paraId="3E4C4607"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Hypersensitivity Reactions:  </w:t>
      </w:r>
      <w:r>
        <w:rPr>
          <w:rFonts w:eastAsia="Times New Roman" w:cs="Times New Roman"/>
          <w:bCs/>
          <w:sz w:val="20"/>
          <w:szCs w:val="20"/>
        </w:rPr>
        <w:t>KABIVEN and PERIKABIVEN contain soybean oil, which may cause hypersensitivity reactions.  Cross reactions have been observed between soybean and peanut.  KABIVEN and PERIKABIVEN are contraindicated in patients with known hypersensitivity to egg, soybean, peanut, or any of the active or inactive ingredients.  If a hypersensitivity reaction occurs, s</w:t>
      </w:r>
      <w:r w:rsidRPr="008E7F5A">
        <w:rPr>
          <w:rFonts w:eastAsia="Times New Roman" w:cs="Times New Roman"/>
          <w:bCs/>
          <w:sz w:val="20"/>
          <w:szCs w:val="20"/>
        </w:rPr>
        <w:t>top</w:t>
      </w:r>
      <w:r>
        <w:rPr>
          <w:rFonts w:eastAsia="Times New Roman" w:cs="Times New Roman"/>
          <w:bCs/>
          <w:sz w:val="20"/>
          <w:szCs w:val="20"/>
        </w:rPr>
        <w:t xml:space="preserve"> the</w:t>
      </w:r>
      <w:r w:rsidRPr="008E7F5A">
        <w:rPr>
          <w:rFonts w:eastAsia="Times New Roman" w:cs="Times New Roman"/>
          <w:bCs/>
          <w:sz w:val="20"/>
          <w:szCs w:val="20"/>
        </w:rPr>
        <w:t xml:space="preserve"> infusion immediately and </w:t>
      </w:r>
      <w:r>
        <w:rPr>
          <w:rFonts w:eastAsia="Times New Roman" w:cs="Times New Roman"/>
          <w:bCs/>
          <w:sz w:val="20"/>
          <w:szCs w:val="20"/>
        </w:rPr>
        <w:t xml:space="preserve">initiate appropriate treatment and supportive measures. </w:t>
      </w:r>
    </w:p>
    <w:p w14:paraId="0F2756C9" w14:textId="77777777" w:rsidR="00DB1AFC" w:rsidRPr="008E7F5A" w:rsidRDefault="00DB1AFC" w:rsidP="00DB1AFC">
      <w:pPr>
        <w:pStyle w:val="ListParagraph"/>
        <w:rPr>
          <w:rFonts w:eastAsia="Times New Roman" w:cs="Times New Roman"/>
          <w:bCs/>
          <w:sz w:val="20"/>
          <w:szCs w:val="20"/>
        </w:rPr>
      </w:pPr>
    </w:p>
    <w:p w14:paraId="73390F85" w14:textId="77777777" w:rsidR="00DB1AFC" w:rsidRDefault="00DB1AFC" w:rsidP="00DB1AFC">
      <w:pPr>
        <w:pStyle w:val="ListParagraph"/>
        <w:numPr>
          <w:ilvl w:val="0"/>
          <w:numId w:val="4"/>
        </w:numPr>
        <w:spacing w:after="0" w:line="240" w:lineRule="auto"/>
        <w:jc w:val="both"/>
        <w:rPr>
          <w:rFonts w:eastAsia="Times New Roman" w:cs="Times New Roman"/>
          <w:bCs/>
          <w:sz w:val="20"/>
          <w:szCs w:val="20"/>
        </w:rPr>
      </w:pPr>
      <w:r>
        <w:rPr>
          <w:rFonts w:eastAsia="Times New Roman" w:cs="Times New Roman"/>
          <w:bCs/>
          <w:sz w:val="20"/>
          <w:szCs w:val="20"/>
        </w:rPr>
        <w:t xml:space="preserve">Precipitation with Ceftriaxone: </w:t>
      </w:r>
      <w:r w:rsidRPr="00523056">
        <w:rPr>
          <w:rFonts w:eastAsia="Times New Roman" w:cs="Times New Roman"/>
          <w:bCs/>
          <w:sz w:val="20"/>
          <w:szCs w:val="20"/>
        </w:rPr>
        <w:t xml:space="preserve">Precipitation of ceftriaxone-calcium can occur when ceftriaxone is mixed with calcium-containing </w:t>
      </w:r>
      <w:r>
        <w:rPr>
          <w:rFonts w:eastAsia="Times New Roman" w:cs="Times New Roman"/>
          <w:bCs/>
          <w:sz w:val="20"/>
          <w:szCs w:val="20"/>
        </w:rPr>
        <w:t>PN</w:t>
      </w:r>
      <w:r w:rsidRPr="00523056">
        <w:rPr>
          <w:rFonts w:eastAsia="Times New Roman" w:cs="Times New Roman"/>
          <w:bCs/>
          <w:sz w:val="20"/>
          <w:szCs w:val="20"/>
        </w:rPr>
        <w:t xml:space="preserve"> solutions, such as KABIVEN or PERIKABIVEN in the same intravenous administration line.</w:t>
      </w:r>
      <w:r>
        <w:rPr>
          <w:rFonts w:eastAsia="Times New Roman" w:cs="Times New Roman"/>
          <w:bCs/>
          <w:sz w:val="20"/>
          <w:szCs w:val="20"/>
        </w:rPr>
        <w:t xml:space="preserve">  </w:t>
      </w:r>
      <w:r w:rsidRPr="001D1E32">
        <w:rPr>
          <w:rFonts w:eastAsia="Times New Roman" w:cs="Times New Roman"/>
          <w:b/>
          <w:sz w:val="20"/>
          <w:szCs w:val="20"/>
        </w:rPr>
        <w:t>Do not</w:t>
      </w:r>
      <w:r>
        <w:rPr>
          <w:rFonts w:eastAsia="Times New Roman" w:cs="Times New Roman"/>
          <w:bCs/>
          <w:sz w:val="20"/>
          <w:szCs w:val="20"/>
        </w:rPr>
        <w:t xml:space="preserve"> administer ceftriaxone simultaneously with KABIVEN or PERIKABIVEN via Y-site.  However, in patients other than neonates, ceftriaxone and KABIVEN or PERIKABIVEN may be administered sequentially if the infusion lines are thoroughly flushed between infusions with a compatible fluid.</w:t>
      </w:r>
    </w:p>
    <w:p w14:paraId="6F154B7D" w14:textId="77777777" w:rsidR="00DB1AFC" w:rsidRPr="001D1E32" w:rsidRDefault="00DB1AFC" w:rsidP="00DB1AFC">
      <w:pPr>
        <w:jc w:val="both"/>
        <w:rPr>
          <w:rFonts w:eastAsia="Times New Roman" w:cs="Times New Roman"/>
          <w:bCs/>
          <w:sz w:val="20"/>
          <w:szCs w:val="20"/>
        </w:rPr>
      </w:pPr>
    </w:p>
    <w:p w14:paraId="1EFDE316" w14:textId="77777777" w:rsidR="00DB1AFC" w:rsidRDefault="00DB1AFC" w:rsidP="00DB1AFC">
      <w:pPr>
        <w:ind w:left="432"/>
        <w:jc w:val="both"/>
        <w:rPr>
          <w:rFonts w:eastAsia="Times New Roman" w:cs="Times New Roman"/>
          <w:bCs/>
          <w:sz w:val="20"/>
          <w:szCs w:val="20"/>
        </w:rPr>
      </w:pPr>
      <w:r>
        <w:rPr>
          <w:rFonts w:eastAsia="Times New Roman" w:cs="Times New Roman"/>
          <w:bCs/>
          <w:sz w:val="20"/>
          <w:szCs w:val="20"/>
        </w:rPr>
        <w:t>Deaths have occurred in neonates (28 days of age or younger) who received concomitant intravenous calcium-containing solutions with ceftriaxone resulting from calcium-ceftriaxone precipitates in the lungs and kidneys, even when separate infusion lines were used.</w:t>
      </w:r>
    </w:p>
    <w:p w14:paraId="0CFD9365" w14:textId="77777777" w:rsidR="00DB1AFC" w:rsidRDefault="00DB1AFC" w:rsidP="00DB1AFC">
      <w:pPr>
        <w:ind w:left="432"/>
        <w:jc w:val="both"/>
        <w:rPr>
          <w:rFonts w:eastAsia="Times New Roman" w:cs="Times New Roman"/>
          <w:bCs/>
          <w:sz w:val="20"/>
          <w:szCs w:val="20"/>
        </w:rPr>
      </w:pPr>
    </w:p>
    <w:p w14:paraId="770C3958" w14:textId="77777777" w:rsidR="00DB1AFC" w:rsidRPr="00131FC8" w:rsidRDefault="00DB1AFC" w:rsidP="00DB1AFC">
      <w:pPr>
        <w:pStyle w:val="ListParagraph"/>
        <w:numPr>
          <w:ilvl w:val="0"/>
          <w:numId w:val="4"/>
        </w:numPr>
        <w:spacing w:after="0" w:line="240" w:lineRule="auto"/>
        <w:jc w:val="both"/>
        <w:rPr>
          <w:rFonts w:eastAsia="Times New Roman" w:cs="Times New Roman"/>
          <w:bCs/>
          <w:sz w:val="20"/>
          <w:szCs w:val="20"/>
        </w:rPr>
      </w:pPr>
      <w:r w:rsidRPr="00131FC8">
        <w:rPr>
          <w:rFonts w:eastAsia="Times New Roman" w:cs="Times New Roman"/>
          <w:bCs/>
          <w:sz w:val="20"/>
          <w:szCs w:val="20"/>
        </w:rPr>
        <w:t>Infections:  PN, such as KABIVEN and PERIKABIVEN, can support microbial growth and is an independent risk factor for the development of catheter-related bloodstream infections.  To decrease the risk of infectious complications, ensure aseptic techniques are used for catheter placement, catheter maintenance, and preparation and administration of KABIVEN and PERIKABIVEN.  Monitor for signs and symptoms of infection including fever and chills, as well as laboratory test results that might indicate infection (including leukocytosis and hyperglycemia).  Perform frequent checks of the intravenous catheter insertion site for edema, redness, and discharge.</w:t>
      </w:r>
    </w:p>
    <w:p w14:paraId="2B00D2E4" w14:textId="77777777" w:rsidR="00DB1AFC" w:rsidRPr="001D1E32" w:rsidRDefault="00DB1AFC" w:rsidP="00DB1AFC">
      <w:pPr>
        <w:jc w:val="both"/>
        <w:rPr>
          <w:rFonts w:eastAsia="Times New Roman" w:cs="Times New Roman"/>
          <w:bCs/>
          <w:sz w:val="20"/>
          <w:szCs w:val="20"/>
        </w:rPr>
      </w:pPr>
    </w:p>
    <w:p w14:paraId="59A73A49" w14:textId="77777777" w:rsidR="00DB1AFC" w:rsidRPr="001D1E32"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Fat Overload Syndrome:  Fat overload syndrome is a rare condition that has been reported with lipid</w:t>
      </w:r>
      <w:r>
        <w:rPr>
          <w:rFonts w:eastAsia="Times New Roman" w:cs="Times New Roman"/>
          <w:bCs/>
          <w:sz w:val="20"/>
          <w:szCs w:val="20"/>
        </w:rPr>
        <w:t xml:space="preserve"> injectable</w:t>
      </w:r>
      <w:r w:rsidRPr="008E7F5A">
        <w:rPr>
          <w:rFonts w:eastAsia="Times New Roman" w:cs="Times New Roman"/>
          <w:bCs/>
          <w:sz w:val="20"/>
          <w:szCs w:val="20"/>
        </w:rPr>
        <w:t xml:space="preserve"> emulsions</w:t>
      </w:r>
      <w:r>
        <w:rPr>
          <w:rFonts w:eastAsia="Times New Roman" w:cs="Times New Roman"/>
          <w:bCs/>
          <w:sz w:val="20"/>
          <w:szCs w:val="20"/>
        </w:rPr>
        <w:t xml:space="preserve"> and is characterized by </w:t>
      </w:r>
      <w:r w:rsidRPr="008E7F5A">
        <w:rPr>
          <w:rFonts w:eastAsia="Times New Roman" w:cs="Times New Roman"/>
          <w:bCs/>
          <w:sz w:val="20"/>
          <w:szCs w:val="20"/>
        </w:rPr>
        <w:t>a sudden deterioration in the patient's condition</w:t>
      </w:r>
      <w:r>
        <w:rPr>
          <w:rFonts w:eastAsia="Times New Roman" w:cs="Times New Roman"/>
          <w:bCs/>
          <w:sz w:val="20"/>
          <w:szCs w:val="20"/>
        </w:rPr>
        <w:t xml:space="preserve"> (e.g., </w:t>
      </w:r>
      <w:r w:rsidRPr="008E7F5A">
        <w:rPr>
          <w:rFonts w:eastAsia="Times New Roman" w:cs="Times New Roman"/>
          <w:bCs/>
          <w:sz w:val="20"/>
          <w:szCs w:val="20"/>
        </w:rPr>
        <w:t xml:space="preserve">fever, anemia, leukopenia, </w:t>
      </w:r>
      <w:r w:rsidRPr="008E7F5A">
        <w:rPr>
          <w:rFonts w:eastAsia="Times New Roman" w:cs="Times New Roman"/>
          <w:bCs/>
          <w:sz w:val="20"/>
          <w:szCs w:val="20"/>
        </w:rPr>
        <w:lastRenderedPageBreak/>
        <w:t>thrombocytopenia, coagulation disorders, hyperlipidemia, hepatomegaly, deteriorating liver function, and central nervous system manifestations</w:t>
      </w:r>
      <w:r>
        <w:rPr>
          <w:rFonts w:eastAsia="Times New Roman" w:cs="Times New Roman"/>
          <w:bCs/>
          <w:sz w:val="20"/>
          <w:szCs w:val="20"/>
        </w:rPr>
        <w:t xml:space="preserve"> such as</w:t>
      </w:r>
      <w:r w:rsidRPr="008E7F5A">
        <w:rPr>
          <w:rFonts w:eastAsia="Times New Roman" w:cs="Times New Roman"/>
          <w:bCs/>
          <w:sz w:val="20"/>
          <w:szCs w:val="20"/>
        </w:rPr>
        <w:t xml:space="preserve"> coma).</w:t>
      </w:r>
      <w:r>
        <w:rPr>
          <w:rFonts w:eastAsia="Times New Roman" w:cs="Times New Roman"/>
          <w:bCs/>
          <w:sz w:val="20"/>
          <w:szCs w:val="20"/>
        </w:rPr>
        <w:t xml:space="preserve">  </w:t>
      </w:r>
      <w:r w:rsidRPr="000F4E60">
        <w:rPr>
          <w:rFonts w:eastAsia="Times New Roman" w:cs="Times New Roman"/>
          <w:bCs/>
          <w:sz w:val="20"/>
          <w:szCs w:val="20"/>
        </w:rPr>
        <w:t>A reduced or limited ability to metabolize lipids, accompanied by prolonged plasma clearance (resulting in higher lipid levels), may result in this syndrome.</w:t>
      </w:r>
      <w:r>
        <w:rPr>
          <w:rFonts w:eastAsia="Times New Roman" w:cs="Times New Roman"/>
          <w:bCs/>
          <w:sz w:val="20"/>
          <w:szCs w:val="20"/>
        </w:rPr>
        <w:t xml:space="preserve"> </w:t>
      </w:r>
      <w:r w:rsidRPr="008D51BA">
        <w:rPr>
          <w:rFonts w:eastAsia="Times New Roman" w:cs="Times New Roman"/>
          <w:bCs/>
          <w:sz w:val="20"/>
          <w:szCs w:val="20"/>
        </w:rPr>
        <w:t xml:space="preserve">Although fat overload syndrome has been most frequently observed when the recommended lipid dosage or infusion rate was exceeded, cases have also been described when the lipid formulation was administered according to instructions. </w:t>
      </w:r>
      <w:r w:rsidRPr="001D1E32">
        <w:rPr>
          <w:rFonts w:eastAsia="Times New Roman" w:cs="Times New Roman"/>
          <w:bCs/>
          <w:sz w:val="20"/>
          <w:szCs w:val="20"/>
        </w:rPr>
        <w:t>If signs or symptoms of fat overload syndrome occur, stop KABIVEN</w:t>
      </w:r>
      <w:r>
        <w:rPr>
          <w:rFonts w:eastAsia="Times New Roman" w:cs="Times New Roman"/>
          <w:bCs/>
          <w:sz w:val="20"/>
          <w:szCs w:val="20"/>
        </w:rPr>
        <w:t xml:space="preserve"> or PERIKABIVEN</w:t>
      </w:r>
      <w:r w:rsidRPr="001D1E32">
        <w:rPr>
          <w:rFonts w:eastAsia="Times New Roman" w:cs="Times New Roman"/>
          <w:bCs/>
          <w:sz w:val="20"/>
          <w:szCs w:val="20"/>
        </w:rPr>
        <w:t>. The syndrome is usually reversible when the infusion including the lipid emulsion is stopped.</w:t>
      </w:r>
    </w:p>
    <w:p w14:paraId="7F73EAF7" w14:textId="77777777" w:rsidR="00DB1AFC" w:rsidRPr="008E7F5A" w:rsidRDefault="00DB1AFC" w:rsidP="00DB1AFC">
      <w:pPr>
        <w:jc w:val="both"/>
        <w:rPr>
          <w:rFonts w:eastAsia="Times New Roman" w:cs="Times New Roman"/>
          <w:bCs/>
          <w:sz w:val="20"/>
          <w:szCs w:val="20"/>
        </w:rPr>
      </w:pPr>
    </w:p>
    <w:p w14:paraId="1D0A0DE1"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Refeeding Syndrome:  </w:t>
      </w:r>
      <w:r>
        <w:rPr>
          <w:rFonts w:eastAsia="Times New Roman" w:cs="Times New Roman"/>
          <w:bCs/>
          <w:sz w:val="20"/>
          <w:szCs w:val="20"/>
        </w:rPr>
        <w:t xml:space="preserve">Administering PN to </w:t>
      </w:r>
      <w:r w:rsidRPr="008E7F5A">
        <w:rPr>
          <w:rFonts w:eastAsia="Times New Roman" w:cs="Times New Roman"/>
          <w:bCs/>
          <w:sz w:val="20"/>
          <w:szCs w:val="20"/>
        </w:rPr>
        <w:t xml:space="preserve">severely </w:t>
      </w:r>
      <w:r>
        <w:rPr>
          <w:rFonts w:eastAsia="Times New Roman" w:cs="Times New Roman"/>
          <w:bCs/>
          <w:sz w:val="20"/>
          <w:szCs w:val="20"/>
        </w:rPr>
        <w:t>mal</w:t>
      </w:r>
      <w:r w:rsidRPr="008E7F5A">
        <w:rPr>
          <w:rFonts w:eastAsia="Times New Roman" w:cs="Times New Roman"/>
          <w:bCs/>
          <w:sz w:val="20"/>
          <w:szCs w:val="20"/>
        </w:rPr>
        <w:t>nourished patients may result in refeeding syndrome, characterized by the intracellular shift of potassium, phosphorus, and magnesium as patient</w:t>
      </w:r>
      <w:r>
        <w:rPr>
          <w:rFonts w:eastAsia="Times New Roman" w:cs="Times New Roman"/>
          <w:bCs/>
          <w:sz w:val="20"/>
          <w:szCs w:val="20"/>
        </w:rPr>
        <w:t>s</w:t>
      </w:r>
      <w:r w:rsidRPr="008E7F5A">
        <w:rPr>
          <w:rFonts w:eastAsia="Times New Roman" w:cs="Times New Roman"/>
          <w:bCs/>
          <w:sz w:val="20"/>
          <w:szCs w:val="20"/>
        </w:rPr>
        <w:t xml:space="preserve"> become anabolic. Thiamine deficiency and fluid retention may also develop.</w:t>
      </w:r>
      <w:r>
        <w:rPr>
          <w:rFonts w:eastAsia="Times New Roman" w:cs="Times New Roman"/>
          <w:bCs/>
          <w:sz w:val="20"/>
          <w:szCs w:val="20"/>
        </w:rPr>
        <w:t xml:space="preserve">  </w:t>
      </w:r>
      <w:r w:rsidRPr="0006007A">
        <w:rPr>
          <w:rFonts w:eastAsia="Times New Roman" w:cs="Times New Roman"/>
          <w:bCs/>
          <w:sz w:val="20"/>
          <w:szCs w:val="20"/>
        </w:rPr>
        <w:t>To prevent these complications, closely monitor severely undernourished patients and slowly increase their nutrient intake</w:t>
      </w:r>
      <w:r>
        <w:rPr>
          <w:rFonts w:eastAsia="Times New Roman" w:cs="Times New Roman"/>
          <w:bCs/>
          <w:sz w:val="20"/>
          <w:szCs w:val="20"/>
        </w:rPr>
        <w:t>.</w:t>
      </w:r>
    </w:p>
    <w:p w14:paraId="25C325DD" w14:textId="77777777" w:rsidR="00DB1AFC" w:rsidRPr="008E7F5A" w:rsidRDefault="00DB1AFC" w:rsidP="00DB1AFC">
      <w:pPr>
        <w:pStyle w:val="ListParagraph"/>
        <w:rPr>
          <w:rFonts w:eastAsia="Times New Roman" w:cs="Times New Roman"/>
          <w:bCs/>
          <w:sz w:val="20"/>
          <w:szCs w:val="20"/>
        </w:rPr>
      </w:pPr>
    </w:p>
    <w:p w14:paraId="4A9060CF"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Diabetes/Hyperglycemia:  Administration of dextrose at a rate exceeding the patient’s utilization rate may lead to hyperglycemia, </w:t>
      </w:r>
      <w:r>
        <w:rPr>
          <w:rFonts w:eastAsia="Times New Roman" w:cs="Times New Roman"/>
          <w:bCs/>
          <w:sz w:val="20"/>
          <w:szCs w:val="20"/>
        </w:rPr>
        <w:t xml:space="preserve">hyperosmolar </w:t>
      </w:r>
      <w:proofErr w:type="gramStart"/>
      <w:r w:rsidRPr="008E7F5A">
        <w:rPr>
          <w:rFonts w:eastAsia="Times New Roman" w:cs="Times New Roman"/>
          <w:bCs/>
          <w:sz w:val="20"/>
          <w:szCs w:val="20"/>
        </w:rPr>
        <w:t>coma</w:t>
      </w:r>
      <w:proofErr w:type="gramEnd"/>
      <w:r w:rsidRPr="008E7F5A">
        <w:rPr>
          <w:rFonts w:eastAsia="Times New Roman" w:cs="Times New Roman"/>
          <w:bCs/>
          <w:sz w:val="20"/>
          <w:szCs w:val="20"/>
        </w:rPr>
        <w:t xml:space="preserve"> and death. Monitor blood glucose levels and treat hyperglycemia to maintain optim</w:t>
      </w:r>
      <w:r>
        <w:rPr>
          <w:rFonts w:eastAsia="Times New Roman" w:cs="Times New Roman"/>
          <w:bCs/>
          <w:sz w:val="20"/>
          <w:szCs w:val="20"/>
        </w:rPr>
        <w:t>al</w:t>
      </w:r>
      <w:r w:rsidRPr="008E7F5A">
        <w:rPr>
          <w:rFonts w:eastAsia="Times New Roman" w:cs="Times New Roman"/>
          <w:bCs/>
          <w:sz w:val="20"/>
          <w:szCs w:val="20"/>
        </w:rPr>
        <w:t xml:space="preserve"> </w:t>
      </w:r>
      <w:r>
        <w:rPr>
          <w:rFonts w:eastAsia="Times New Roman" w:cs="Times New Roman"/>
          <w:bCs/>
          <w:sz w:val="20"/>
          <w:szCs w:val="20"/>
        </w:rPr>
        <w:t xml:space="preserve">glucose </w:t>
      </w:r>
      <w:r w:rsidRPr="008E7F5A">
        <w:rPr>
          <w:rFonts w:eastAsia="Times New Roman" w:cs="Times New Roman"/>
          <w:bCs/>
          <w:sz w:val="20"/>
          <w:szCs w:val="20"/>
        </w:rPr>
        <w:t>levels while infusing KABIVEN or PERIKABIVEN.</w:t>
      </w:r>
      <w:r>
        <w:rPr>
          <w:rFonts w:eastAsia="Times New Roman" w:cs="Times New Roman"/>
          <w:bCs/>
          <w:sz w:val="20"/>
          <w:szCs w:val="20"/>
        </w:rPr>
        <w:t xml:space="preserve">  </w:t>
      </w:r>
      <w:r w:rsidRPr="0006007A">
        <w:rPr>
          <w:rFonts w:eastAsia="Times New Roman" w:cs="Times New Roman"/>
          <w:bCs/>
          <w:sz w:val="20"/>
          <w:szCs w:val="20"/>
        </w:rPr>
        <w:t>Insulin may be administered or adjusted to maintain optimal blood glucose levels during KABIVEN</w:t>
      </w:r>
      <w:r>
        <w:rPr>
          <w:rFonts w:eastAsia="Times New Roman" w:cs="Times New Roman"/>
          <w:bCs/>
          <w:sz w:val="20"/>
          <w:szCs w:val="20"/>
        </w:rPr>
        <w:t xml:space="preserve"> or PERKABIVEN</w:t>
      </w:r>
      <w:r w:rsidRPr="0006007A">
        <w:rPr>
          <w:rFonts w:eastAsia="Times New Roman" w:cs="Times New Roman"/>
          <w:bCs/>
          <w:sz w:val="20"/>
          <w:szCs w:val="20"/>
        </w:rPr>
        <w:t xml:space="preserve"> administration.</w:t>
      </w:r>
    </w:p>
    <w:p w14:paraId="1FDEB0A8" w14:textId="77777777" w:rsidR="00DB1AFC" w:rsidRPr="008E7F5A" w:rsidRDefault="00DB1AFC" w:rsidP="00DB1AFC">
      <w:pPr>
        <w:pStyle w:val="ListParagraph"/>
        <w:rPr>
          <w:rFonts w:eastAsia="Times New Roman" w:cs="Times New Roman"/>
          <w:bCs/>
          <w:sz w:val="20"/>
          <w:szCs w:val="20"/>
        </w:rPr>
      </w:pPr>
    </w:p>
    <w:p w14:paraId="3D2BCD23"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Hypertriglyceridemia:  </w:t>
      </w:r>
      <w:r w:rsidRPr="00556E1A">
        <w:rPr>
          <w:rFonts w:eastAsia="Times New Roman" w:cs="Times New Roman"/>
          <w:bCs/>
          <w:sz w:val="20"/>
          <w:szCs w:val="20"/>
        </w:rPr>
        <w:t>The use of KABIVEN</w:t>
      </w:r>
      <w:r>
        <w:rPr>
          <w:rFonts w:eastAsia="Times New Roman" w:cs="Times New Roman"/>
          <w:bCs/>
          <w:sz w:val="20"/>
          <w:szCs w:val="20"/>
        </w:rPr>
        <w:t xml:space="preserve"> and PERIKABIVEN</w:t>
      </w:r>
      <w:r w:rsidRPr="00556E1A">
        <w:rPr>
          <w:rFonts w:eastAsia="Times New Roman" w:cs="Times New Roman"/>
          <w:bCs/>
          <w:sz w:val="20"/>
          <w:szCs w:val="20"/>
        </w:rPr>
        <w:t xml:space="preserve"> </w:t>
      </w:r>
      <w:r>
        <w:rPr>
          <w:rFonts w:eastAsia="Times New Roman" w:cs="Times New Roman"/>
          <w:bCs/>
          <w:sz w:val="20"/>
          <w:szCs w:val="20"/>
        </w:rPr>
        <w:t>are</w:t>
      </w:r>
      <w:r w:rsidRPr="00556E1A">
        <w:rPr>
          <w:rFonts w:eastAsia="Times New Roman" w:cs="Times New Roman"/>
          <w:bCs/>
          <w:sz w:val="20"/>
          <w:szCs w:val="20"/>
        </w:rPr>
        <w:t xml:space="preserve"> contraindicated in patients with hypertriglyceridemia with serum triglyceride concentrations &gt;1,000 mg/dL.</w:t>
      </w:r>
      <w:r>
        <w:rPr>
          <w:rFonts w:eastAsia="Times New Roman" w:cs="Times New Roman"/>
          <w:bCs/>
          <w:sz w:val="20"/>
          <w:szCs w:val="20"/>
        </w:rPr>
        <w:t xml:space="preserve">  </w:t>
      </w:r>
      <w:r w:rsidRPr="00556E1A">
        <w:rPr>
          <w:rFonts w:eastAsia="Times New Roman" w:cs="Times New Roman"/>
          <w:bCs/>
          <w:sz w:val="20"/>
          <w:szCs w:val="20"/>
        </w:rPr>
        <w:t>Patients with conditions such as inherited lipid disorders, obesity, diabetes mellitus, or metabolic syndromes have a higher risk of developing hypertriglyceridemia with the use of KABIVEN</w:t>
      </w:r>
      <w:r>
        <w:rPr>
          <w:rFonts w:eastAsia="Times New Roman" w:cs="Times New Roman"/>
          <w:bCs/>
          <w:sz w:val="20"/>
          <w:szCs w:val="20"/>
        </w:rPr>
        <w:t xml:space="preserve"> or PERIKABIVEN</w:t>
      </w:r>
      <w:r w:rsidRPr="00556E1A">
        <w:rPr>
          <w:rFonts w:eastAsia="Times New Roman" w:cs="Times New Roman"/>
          <w:bCs/>
          <w:sz w:val="20"/>
          <w:szCs w:val="20"/>
        </w:rPr>
        <w:t>. In addition, patients with hypertriglyceridemia may have worsening of their hypertriglyceridemia with administration of KABIVEN</w:t>
      </w:r>
      <w:r>
        <w:rPr>
          <w:rFonts w:eastAsia="Times New Roman" w:cs="Times New Roman"/>
          <w:bCs/>
          <w:sz w:val="20"/>
          <w:szCs w:val="20"/>
        </w:rPr>
        <w:t xml:space="preserve"> and PERIKABIVEN</w:t>
      </w:r>
      <w:r w:rsidRPr="00556E1A">
        <w:rPr>
          <w:rFonts w:eastAsia="Times New Roman" w:cs="Times New Roman"/>
          <w:bCs/>
          <w:sz w:val="20"/>
          <w:szCs w:val="20"/>
        </w:rPr>
        <w:t>. Excessive dextrose administration may further increase such risk.</w:t>
      </w:r>
      <w:r>
        <w:rPr>
          <w:rFonts w:eastAsia="Times New Roman" w:cs="Times New Roman"/>
          <w:bCs/>
          <w:sz w:val="20"/>
          <w:szCs w:val="20"/>
        </w:rPr>
        <w:t xml:space="preserve">  </w:t>
      </w:r>
      <w:r w:rsidRPr="008E7F5A">
        <w:rPr>
          <w:rFonts w:eastAsia="Times New Roman" w:cs="Times New Roman"/>
          <w:bCs/>
          <w:sz w:val="20"/>
          <w:szCs w:val="20"/>
        </w:rPr>
        <w:t xml:space="preserve"> </w:t>
      </w:r>
      <w:r>
        <w:rPr>
          <w:rFonts w:eastAsia="Times New Roman" w:cs="Times New Roman"/>
          <w:bCs/>
          <w:sz w:val="20"/>
          <w:szCs w:val="20"/>
        </w:rPr>
        <w:t>E</w:t>
      </w:r>
      <w:r w:rsidRPr="008E7F5A">
        <w:rPr>
          <w:rFonts w:eastAsia="Times New Roman" w:cs="Times New Roman"/>
          <w:bCs/>
          <w:sz w:val="20"/>
          <w:szCs w:val="20"/>
        </w:rPr>
        <w:t xml:space="preserve">valuate </w:t>
      </w:r>
      <w:r>
        <w:rPr>
          <w:rFonts w:eastAsia="Times New Roman" w:cs="Times New Roman"/>
          <w:bCs/>
          <w:sz w:val="20"/>
          <w:szCs w:val="20"/>
        </w:rPr>
        <w:t xml:space="preserve">the </w:t>
      </w:r>
      <w:r w:rsidRPr="008E7F5A">
        <w:rPr>
          <w:rFonts w:eastAsia="Times New Roman" w:cs="Times New Roman"/>
          <w:bCs/>
          <w:sz w:val="20"/>
          <w:szCs w:val="20"/>
        </w:rPr>
        <w:t xml:space="preserve">patient’s capacity to eliminate and metabolize the infused lipid emulsion </w:t>
      </w:r>
      <w:r>
        <w:rPr>
          <w:rFonts w:eastAsia="Times New Roman" w:cs="Times New Roman"/>
          <w:bCs/>
          <w:sz w:val="20"/>
          <w:szCs w:val="20"/>
        </w:rPr>
        <w:t xml:space="preserve">by </w:t>
      </w:r>
      <w:r w:rsidRPr="008E7F5A">
        <w:rPr>
          <w:rFonts w:eastAsia="Times New Roman" w:cs="Times New Roman"/>
          <w:bCs/>
          <w:sz w:val="20"/>
          <w:szCs w:val="20"/>
        </w:rPr>
        <w:t>measur</w:t>
      </w:r>
      <w:r>
        <w:rPr>
          <w:rFonts w:eastAsia="Times New Roman" w:cs="Times New Roman"/>
          <w:bCs/>
          <w:sz w:val="20"/>
          <w:szCs w:val="20"/>
        </w:rPr>
        <w:t>ing</w:t>
      </w:r>
      <w:r w:rsidRPr="008E7F5A">
        <w:rPr>
          <w:rFonts w:eastAsia="Times New Roman" w:cs="Times New Roman"/>
          <w:bCs/>
          <w:sz w:val="20"/>
          <w:szCs w:val="20"/>
        </w:rPr>
        <w:t xml:space="preserve"> serum triglycerides before the start of infusion (baseline value), with each increase in dosage, and regularly throughout treatment. </w:t>
      </w:r>
      <w:r>
        <w:rPr>
          <w:rFonts w:eastAsia="Times New Roman" w:cs="Times New Roman"/>
          <w:bCs/>
          <w:sz w:val="20"/>
          <w:szCs w:val="20"/>
        </w:rPr>
        <w:t xml:space="preserve"> </w:t>
      </w:r>
      <w:r w:rsidRPr="00556E1A">
        <w:rPr>
          <w:rFonts w:eastAsia="Times New Roman" w:cs="Times New Roman"/>
          <w:bCs/>
          <w:sz w:val="20"/>
          <w:szCs w:val="20"/>
        </w:rPr>
        <w:t>If triglyceride levels are above 400 mg/dL in adults, stop the</w:t>
      </w:r>
      <w:r>
        <w:rPr>
          <w:rFonts w:eastAsia="Times New Roman" w:cs="Times New Roman"/>
          <w:bCs/>
          <w:sz w:val="20"/>
          <w:szCs w:val="20"/>
        </w:rPr>
        <w:t xml:space="preserve"> KABIVEN or PERIKABIVEN</w:t>
      </w:r>
      <w:r w:rsidRPr="00556E1A">
        <w:rPr>
          <w:rFonts w:eastAsia="Times New Roman" w:cs="Times New Roman"/>
          <w:bCs/>
          <w:sz w:val="20"/>
          <w:szCs w:val="20"/>
        </w:rPr>
        <w:t xml:space="preserve"> infusion and monitor serum triglyceride levels to avoid clinical consequences of hypertriglyceridemia such as pancreatitis.</w:t>
      </w:r>
      <w:r>
        <w:rPr>
          <w:rFonts w:eastAsia="Times New Roman" w:cs="Times New Roman"/>
          <w:bCs/>
          <w:sz w:val="20"/>
          <w:szCs w:val="20"/>
        </w:rPr>
        <w:t xml:space="preserve">  </w:t>
      </w:r>
      <w:r w:rsidRPr="00556E1A">
        <w:rPr>
          <w:rFonts w:eastAsia="Times New Roman" w:cs="Times New Roman"/>
          <w:bCs/>
          <w:sz w:val="20"/>
          <w:szCs w:val="20"/>
        </w:rPr>
        <w:t>To minimize the risk of new or worsening of hypertriglyceridemia, assess high-risk patients for their overall energy intake including other sources of lipid and dextrose, as well as concomitant drugs that may affect lipid and dextrose metabolism.</w:t>
      </w:r>
    </w:p>
    <w:p w14:paraId="546982B8" w14:textId="77777777" w:rsidR="00DB1AFC" w:rsidRPr="008E7F5A" w:rsidRDefault="00DB1AFC" w:rsidP="00DB1AFC">
      <w:pPr>
        <w:pStyle w:val="ListParagraph"/>
        <w:rPr>
          <w:rFonts w:eastAsia="Times New Roman" w:cs="Times New Roman"/>
          <w:bCs/>
          <w:sz w:val="20"/>
          <w:szCs w:val="20"/>
        </w:rPr>
      </w:pPr>
    </w:p>
    <w:p w14:paraId="6EC89FDD" w14:textId="77777777" w:rsidR="00DB1AFC" w:rsidRPr="001D1E32"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Vein Damage and Thrombosis:  The infusion of hypertonic nutrient injections into a peripheral vein may result in vein irritation, vein damage, and/or thrombosis.</w:t>
      </w:r>
      <w:r>
        <w:rPr>
          <w:rFonts w:eastAsia="Times New Roman" w:cs="Times New Roman"/>
          <w:bCs/>
          <w:sz w:val="20"/>
          <w:szCs w:val="20"/>
        </w:rPr>
        <w:t xml:space="preserve">  </w:t>
      </w:r>
      <w:r w:rsidRPr="008E7F5A">
        <w:rPr>
          <w:rFonts w:eastAsia="Times New Roman" w:cs="Times New Roman"/>
          <w:b/>
          <w:bCs/>
          <w:sz w:val="20"/>
          <w:szCs w:val="20"/>
        </w:rPr>
        <w:t>KABIVEN</w:t>
      </w:r>
      <w:r w:rsidRPr="008E7F5A">
        <w:rPr>
          <w:rFonts w:eastAsia="Times New Roman" w:cs="Times New Roman"/>
          <w:bCs/>
          <w:sz w:val="20"/>
          <w:szCs w:val="20"/>
        </w:rPr>
        <w:t xml:space="preserve"> is </w:t>
      </w:r>
      <w:r>
        <w:rPr>
          <w:rFonts w:eastAsia="Times New Roman" w:cs="Times New Roman"/>
          <w:bCs/>
          <w:sz w:val="20"/>
          <w:szCs w:val="20"/>
        </w:rPr>
        <w:t>only approved</w:t>
      </w:r>
      <w:r w:rsidRPr="008E7F5A">
        <w:rPr>
          <w:rFonts w:eastAsia="Times New Roman" w:cs="Times New Roman"/>
          <w:bCs/>
          <w:sz w:val="20"/>
          <w:szCs w:val="20"/>
        </w:rPr>
        <w:t xml:space="preserve"> for administration into a </w:t>
      </w:r>
      <w:r w:rsidRPr="008E7F5A">
        <w:rPr>
          <w:rFonts w:eastAsia="Times New Roman" w:cs="Times New Roman"/>
          <w:b/>
          <w:bCs/>
          <w:sz w:val="20"/>
          <w:szCs w:val="20"/>
        </w:rPr>
        <w:t>central vein</w:t>
      </w:r>
      <w:r w:rsidRPr="008E7F5A">
        <w:rPr>
          <w:rFonts w:eastAsia="Times New Roman" w:cs="Times New Roman"/>
          <w:bCs/>
          <w:sz w:val="20"/>
          <w:szCs w:val="20"/>
        </w:rPr>
        <w:t xml:space="preserve">, such as the superior vena cava. </w:t>
      </w:r>
      <w:r>
        <w:rPr>
          <w:rFonts w:eastAsia="Times New Roman" w:cs="Times New Roman"/>
          <w:bCs/>
          <w:sz w:val="20"/>
          <w:szCs w:val="20"/>
        </w:rPr>
        <w:t xml:space="preserve">  Remove the catheter as soon as possible if thrombophlebitis develops.</w:t>
      </w:r>
    </w:p>
    <w:p w14:paraId="21A9C504" w14:textId="77777777" w:rsidR="00DB1AFC" w:rsidRDefault="00DB1AFC" w:rsidP="00DB1AFC">
      <w:pPr>
        <w:ind w:left="432"/>
        <w:jc w:val="both"/>
        <w:rPr>
          <w:rFonts w:eastAsia="Times New Roman" w:cs="Times New Roman"/>
          <w:bCs/>
          <w:sz w:val="20"/>
          <w:szCs w:val="20"/>
        </w:rPr>
      </w:pPr>
    </w:p>
    <w:p w14:paraId="08F7FB4E" w14:textId="77777777" w:rsidR="00DB1AFC" w:rsidRPr="007203F4" w:rsidRDefault="00DB1AFC" w:rsidP="00DB1AFC">
      <w:pPr>
        <w:ind w:left="432"/>
        <w:jc w:val="both"/>
        <w:rPr>
          <w:rFonts w:eastAsia="Times New Roman" w:cs="Times New Roman"/>
          <w:bCs/>
          <w:sz w:val="20"/>
          <w:szCs w:val="20"/>
        </w:rPr>
      </w:pPr>
      <w:r w:rsidRPr="00F5065A">
        <w:rPr>
          <w:rFonts w:eastAsia="Times New Roman" w:cs="Times New Roman"/>
          <w:b/>
          <w:bCs/>
          <w:sz w:val="20"/>
          <w:szCs w:val="20"/>
        </w:rPr>
        <w:t>PERIKABIVEN</w:t>
      </w:r>
      <w:r w:rsidRPr="001D1E32">
        <w:rPr>
          <w:rFonts w:eastAsia="Times New Roman" w:cs="Times New Roman"/>
          <w:bCs/>
          <w:sz w:val="20"/>
          <w:szCs w:val="20"/>
        </w:rPr>
        <w:t xml:space="preserve"> is indicated for </w:t>
      </w:r>
      <w:r w:rsidRPr="001D1E32">
        <w:rPr>
          <w:rFonts w:eastAsia="Times New Roman" w:cs="Times New Roman"/>
          <w:b/>
          <w:bCs/>
          <w:sz w:val="20"/>
          <w:szCs w:val="20"/>
        </w:rPr>
        <w:t>peripheral administration or may be infused into a central vein</w:t>
      </w:r>
      <w:r>
        <w:rPr>
          <w:rFonts w:eastAsia="Times New Roman" w:cs="Times New Roman"/>
          <w:b/>
          <w:bCs/>
          <w:sz w:val="20"/>
          <w:szCs w:val="20"/>
        </w:rPr>
        <w:t>, however,</w:t>
      </w:r>
      <w:r w:rsidRPr="001D1E32">
        <w:rPr>
          <w:rFonts w:eastAsia="Times New Roman" w:cs="Times New Roman"/>
          <w:bCs/>
          <w:sz w:val="20"/>
          <w:szCs w:val="20"/>
        </w:rPr>
        <w:t xml:space="preserve"> </w:t>
      </w:r>
      <w:r>
        <w:rPr>
          <w:rFonts w:eastAsia="Times New Roman" w:cs="Times New Roman"/>
          <w:bCs/>
          <w:sz w:val="20"/>
          <w:szCs w:val="20"/>
        </w:rPr>
        <w:t>p</w:t>
      </w:r>
      <w:r w:rsidRPr="001D1E32">
        <w:rPr>
          <w:rFonts w:eastAsia="Times New Roman" w:cs="Times New Roman"/>
          <w:bCs/>
          <w:sz w:val="20"/>
          <w:szCs w:val="20"/>
        </w:rPr>
        <w:t xml:space="preserve">eripheral catheters should not be used for solutions with osmolarity of ≥ 900 </w:t>
      </w:r>
      <w:proofErr w:type="spellStart"/>
      <w:r w:rsidRPr="001D1E32">
        <w:rPr>
          <w:rFonts w:eastAsia="Times New Roman" w:cs="Times New Roman"/>
          <w:bCs/>
          <w:sz w:val="20"/>
          <w:szCs w:val="20"/>
        </w:rPr>
        <w:t>mOsm</w:t>
      </w:r>
      <w:proofErr w:type="spellEnd"/>
      <w:r w:rsidRPr="001D1E32">
        <w:rPr>
          <w:rFonts w:eastAsia="Times New Roman" w:cs="Times New Roman"/>
          <w:bCs/>
          <w:sz w:val="20"/>
          <w:szCs w:val="20"/>
        </w:rPr>
        <w:t>/L. The catheter should be removed as soon as</w:t>
      </w:r>
      <w:r>
        <w:rPr>
          <w:rFonts w:eastAsia="Times New Roman" w:cs="Times New Roman"/>
          <w:bCs/>
          <w:sz w:val="20"/>
          <w:szCs w:val="20"/>
        </w:rPr>
        <w:t xml:space="preserve"> possible if</w:t>
      </w:r>
      <w:r w:rsidRPr="001D1E32">
        <w:rPr>
          <w:rFonts w:eastAsia="Times New Roman" w:cs="Times New Roman"/>
          <w:bCs/>
          <w:sz w:val="20"/>
          <w:szCs w:val="20"/>
        </w:rPr>
        <w:t xml:space="preserve"> thrombophlebitis develops.</w:t>
      </w:r>
    </w:p>
    <w:p w14:paraId="2C709270" w14:textId="77777777" w:rsidR="00DB1AFC" w:rsidRPr="008E7F5A" w:rsidRDefault="00DB1AFC" w:rsidP="00DB1AFC">
      <w:pPr>
        <w:jc w:val="both"/>
      </w:pPr>
    </w:p>
    <w:p w14:paraId="75AEA7E1" w14:textId="77777777" w:rsidR="00DB1AFC" w:rsidRPr="00043F25"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Electrolyte Imbalance and Fluid Overload in </w:t>
      </w:r>
      <w:r>
        <w:rPr>
          <w:rFonts w:eastAsia="Times New Roman" w:cs="Times New Roman"/>
          <w:bCs/>
          <w:sz w:val="20"/>
          <w:szCs w:val="20"/>
        </w:rPr>
        <w:t xml:space="preserve">Patients with Decreased </w:t>
      </w:r>
      <w:r w:rsidRPr="008E7F5A">
        <w:rPr>
          <w:rFonts w:eastAsia="Times New Roman" w:cs="Times New Roman"/>
          <w:bCs/>
          <w:sz w:val="20"/>
          <w:szCs w:val="20"/>
        </w:rPr>
        <w:t xml:space="preserve">Renal </w:t>
      </w:r>
      <w:r>
        <w:rPr>
          <w:rFonts w:eastAsia="Times New Roman" w:cs="Times New Roman"/>
          <w:bCs/>
          <w:sz w:val="20"/>
          <w:szCs w:val="20"/>
        </w:rPr>
        <w:t>Function</w:t>
      </w:r>
      <w:r w:rsidRPr="008E7F5A">
        <w:rPr>
          <w:rFonts w:eastAsia="Times New Roman" w:cs="Times New Roman"/>
          <w:bCs/>
          <w:sz w:val="20"/>
          <w:szCs w:val="20"/>
        </w:rPr>
        <w:t xml:space="preserve">:  Patients with </w:t>
      </w:r>
      <w:r>
        <w:rPr>
          <w:rFonts w:eastAsia="Times New Roman" w:cs="Times New Roman"/>
          <w:bCs/>
          <w:sz w:val="20"/>
          <w:szCs w:val="20"/>
        </w:rPr>
        <w:t xml:space="preserve">decreased </w:t>
      </w:r>
      <w:r w:rsidRPr="008E7F5A">
        <w:rPr>
          <w:rFonts w:eastAsia="Times New Roman" w:cs="Times New Roman"/>
          <w:bCs/>
          <w:sz w:val="20"/>
          <w:szCs w:val="20"/>
        </w:rPr>
        <w:t xml:space="preserve">renal </w:t>
      </w:r>
      <w:r>
        <w:rPr>
          <w:rFonts w:eastAsia="Times New Roman" w:cs="Times New Roman"/>
          <w:bCs/>
          <w:sz w:val="20"/>
          <w:szCs w:val="20"/>
        </w:rPr>
        <w:t xml:space="preserve">function, including those with </w:t>
      </w:r>
      <w:r w:rsidRPr="008E7F5A">
        <w:rPr>
          <w:rFonts w:eastAsia="Times New Roman" w:cs="Times New Roman"/>
          <w:bCs/>
          <w:sz w:val="20"/>
          <w:szCs w:val="20"/>
        </w:rPr>
        <w:t>pre-renal azotemia, renal obstruction</w:t>
      </w:r>
      <w:r>
        <w:rPr>
          <w:rFonts w:eastAsia="Times New Roman" w:cs="Times New Roman"/>
          <w:bCs/>
          <w:sz w:val="20"/>
          <w:szCs w:val="20"/>
        </w:rPr>
        <w:t xml:space="preserve"> or intrinsic renal disease</w:t>
      </w:r>
      <w:r w:rsidRPr="008E7F5A">
        <w:rPr>
          <w:rFonts w:eastAsia="Times New Roman" w:cs="Times New Roman"/>
          <w:bCs/>
          <w:sz w:val="20"/>
          <w:szCs w:val="20"/>
        </w:rPr>
        <w:t xml:space="preserve"> may be at increased risk of electrolyte and fluid volume imbalance</w:t>
      </w:r>
      <w:r>
        <w:rPr>
          <w:rFonts w:eastAsia="Times New Roman" w:cs="Times New Roman"/>
          <w:bCs/>
          <w:sz w:val="20"/>
          <w:szCs w:val="20"/>
        </w:rPr>
        <w:t xml:space="preserve"> when receiving PN, including </w:t>
      </w:r>
      <w:r w:rsidRPr="008E7F5A">
        <w:rPr>
          <w:rFonts w:eastAsia="Times New Roman" w:cs="Times New Roman"/>
          <w:bCs/>
          <w:sz w:val="20"/>
          <w:szCs w:val="20"/>
        </w:rPr>
        <w:t>KABIVEN and PERIKABIVEN</w:t>
      </w:r>
      <w:r>
        <w:rPr>
          <w:rFonts w:eastAsia="Times New Roman" w:cs="Times New Roman"/>
          <w:bCs/>
          <w:sz w:val="20"/>
          <w:szCs w:val="20"/>
        </w:rPr>
        <w:t xml:space="preserve">.  In patients with decreased renal function with electrolyte imbalance or fluid overload, the KABIVEN or PERIKABIVEN should be used with caution, and the dosage (e.g., fluid, </w:t>
      </w:r>
      <w:proofErr w:type="gramStart"/>
      <w:r>
        <w:rPr>
          <w:rFonts w:eastAsia="Times New Roman" w:cs="Times New Roman"/>
          <w:bCs/>
          <w:sz w:val="20"/>
          <w:szCs w:val="20"/>
        </w:rPr>
        <w:t>protein</w:t>
      </w:r>
      <w:proofErr w:type="gramEnd"/>
      <w:r>
        <w:rPr>
          <w:rFonts w:eastAsia="Times New Roman" w:cs="Times New Roman"/>
          <w:bCs/>
          <w:sz w:val="20"/>
          <w:szCs w:val="20"/>
        </w:rPr>
        <w:t xml:space="preserve"> and electrolyte content) may require adjustment. </w:t>
      </w:r>
      <w:r w:rsidRPr="008E7F5A">
        <w:rPr>
          <w:rFonts w:eastAsia="Times New Roman" w:cs="Times New Roman"/>
          <w:bCs/>
          <w:sz w:val="20"/>
          <w:szCs w:val="20"/>
        </w:rPr>
        <w:t xml:space="preserve"> Monitor renal function parameters.</w:t>
      </w:r>
      <w:r>
        <w:rPr>
          <w:rFonts w:eastAsia="Times New Roman" w:cs="Times New Roman"/>
          <w:bCs/>
          <w:sz w:val="20"/>
          <w:szCs w:val="20"/>
        </w:rPr>
        <w:t xml:space="preserve">  Patients developing signs of decreased renal function should be assessed early by a clinician knowledgeable in renal disease </w:t>
      </w:r>
      <w:proofErr w:type="gramStart"/>
      <w:r>
        <w:rPr>
          <w:rFonts w:eastAsia="Times New Roman" w:cs="Times New Roman"/>
          <w:bCs/>
          <w:sz w:val="20"/>
          <w:szCs w:val="20"/>
        </w:rPr>
        <w:t>in order to</w:t>
      </w:r>
      <w:proofErr w:type="gramEnd"/>
      <w:r>
        <w:rPr>
          <w:rFonts w:eastAsia="Times New Roman" w:cs="Times New Roman"/>
          <w:bCs/>
          <w:sz w:val="20"/>
          <w:szCs w:val="20"/>
        </w:rPr>
        <w:t xml:space="preserve"> determine the appropriate KABIVEN or </w:t>
      </w:r>
      <w:bookmarkStart w:id="0" w:name="_Hlk109304937"/>
      <w:r>
        <w:rPr>
          <w:rFonts w:eastAsia="Times New Roman" w:cs="Times New Roman"/>
          <w:bCs/>
          <w:sz w:val="20"/>
          <w:szCs w:val="20"/>
        </w:rPr>
        <w:t>PERIKABIVEN</w:t>
      </w:r>
      <w:bookmarkEnd w:id="0"/>
      <w:r>
        <w:rPr>
          <w:rFonts w:eastAsia="Times New Roman" w:cs="Times New Roman"/>
          <w:bCs/>
          <w:sz w:val="20"/>
          <w:szCs w:val="20"/>
        </w:rPr>
        <w:t xml:space="preserve"> dosage or other treatment options.</w:t>
      </w:r>
    </w:p>
    <w:p w14:paraId="486B50BC" w14:textId="77777777" w:rsidR="00DB1AFC" w:rsidRPr="008E7F5A" w:rsidRDefault="00DB1AFC" w:rsidP="00DB1AFC">
      <w:pPr>
        <w:pStyle w:val="ListParagraph"/>
        <w:rPr>
          <w:rFonts w:eastAsia="Times New Roman" w:cs="Times New Roman"/>
          <w:bCs/>
          <w:sz w:val="20"/>
          <w:szCs w:val="20"/>
        </w:rPr>
      </w:pPr>
    </w:p>
    <w:p w14:paraId="580508A6"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sidRPr="008E7F5A">
        <w:rPr>
          <w:rFonts w:eastAsia="Times New Roman" w:cs="Times New Roman"/>
          <w:bCs/>
          <w:sz w:val="20"/>
          <w:szCs w:val="20"/>
        </w:rPr>
        <w:t xml:space="preserve">Aluminum Toxicity:  KABIVEN and PERIKABIVEN contain no more than 25 mcg/L of aluminum.  The aluminum contained in KABIVEN and PERIKABIVEN may reach toxic levels with prolonged parenteral administration in patients with impaired kidney function.  Preterm infants are at greater risk because their kidneys are immature, and they require large amounts of calcium and phosphate solutions that contain aluminum.  Patients with impaired kidney function, including preterm infants, who receive parenteral levels of aluminum at greater than 4 to 5 mcg/kg/day, </w:t>
      </w:r>
      <w:r w:rsidRPr="008E7F5A">
        <w:rPr>
          <w:rFonts w:eastAsia="Times New Roman" w:cs="Times New Roman"/>
          <w:bCs/>
          <w:sz w:val="20"/>
          <w:szCs w:val="20"/>
        </w:rPr>
        <w:lastRenderedPageBreak/>
        <w:t xml:space="preserve">accumulate aluminum at levels associated with central nervous system and bone toxicity. Tissue loading may occur at even lower rates of administration of </w:t>
      </w:r>
      <w:r>
        <w:rPr>
          <w:rFonts w:eastAsia="Times New Roman" w:cs="Times New Roman"/>
          <w:bCs/>
          <w:sz w:val="20"/>
          <w:szCs w:val="20"/>
        </w:rPr>
        <w:t>PN</w:t>
      </w:r>
      <w:r w:rsidRPr="008E7F5A">
        <w:rPr>
          <w:rFonts w:eastAsia="Times New Roman" w:cs="Times New Roman"/>
          <w:bCs/>
          <w:sz w:val="20"/>
          <w:szCs w:val="20"/>
        </w:rPr>
        <w:t xml:space="preserve"> products.</w:t>
      </w:r>
    </w:p>
    <w:p w14:paraId="5429A5AA" w14:textId="77777777" w:rsidR="00DB1AFC" w:rsidRPr="008E7F5A" w:rsidRDefault="00DB1AFC" w:rsidP="00DB1AFC">
      <w:pPr>
        <w:pStyle w:val="ListParagraph"/>
        <w:rPr>
          <w:rFonts w:eastAsia="Times New Roman" w:cs="Times New Roman"/>
          <w:bCs/>
          <w:sz w:val="20"/>
          <w:szCs w:val="20"/>
        </w:rPr>
      </w:pPr>
    </w:p>
    <w:p w14:paraId="5CC55109" w14:textId="77777777" w:rsidR="00DB1AFC" w:rsidRPr="008E7F5A" w:rsidRDefault="00DB1AFC" w:rsidP="00DB1AFC">
      <w:pPr>
        <w:pStyle w:val="ListParagraph"/>
        <w:numPr>
          <w:ilvl w:val="0"/>
          <w:numId w:val="4"/>
        </w:numPr>
        <w:spacing w:after="0" w:line="240" w:lineRule="auto"/>
        <w:jc w:val="both"/>
        <w:rPr>
          <w:rFonts w:eastAsia="Times New Roman" w:cs="Times New Roman"/>
          <w:bCs/>
          <w:sz w:val="20"/>
          <w:szCs w:val="20"/>
        </w:rPr>
      </w:pPr>
      <w:r>
        <w:rPr>
          <w:rFonts w:eastAsia="Times New Roman" w:cs="Times New Roman"/>
          <w:bCs/>
          <w:sz w:val="20"/>
          <w:szCs w:val="20"/>
        </w:rPr>
        <w:t>Monitoring/</w:t>
      </w:r>
      <w:r w:rsidRPr="008E7F5A">
        <w:rPr>
          <w:rFonts w:eastAsia="Times New Roman" w:cs="Times New Roman"/>
          <w:bCs/>
          <w:sz w:val="20"/>
          <w:szCs w:val="20"/>
        </w:rPr>
        <w:t>Laboratory Tests</w:t>
      </w:r>
      <w:r>
        <w:rPr>
          <w:rFonts w:eastAsia="Times New Roman" w:cs="Times New Roman"/>
          <w:bCs/>
          <w:sz w:val="20"/>
          <w:szCs w:val="20"/>
        </w:rPr>
        <w:t>:</w:t>
      </w:r>
      <w:r w:rsidRPr="008E7F5A">
        <w:rPr>
          <w:rFonts w:eastAsia="Times New Roman" w:cs="Times New Roman"/>
          <w:bCs/>
          <w:sz w:val="20"/>
          <w:szCs w:val="20"/>
        </w:rPr>
        <w:t xml:space="preserve"> Monitor </w:t>
      </w:r>
      <w:r>
        <w:rPr>
          <w:rFonts w:eastAsia="Times New Roman" w:cs="Times New Roman"/>
          <w:bCs/>
          <w:sz w:val="20"/>
          <w:szCs w:val="20"/>
        </w:rPr>
        <w:t xml:space="preserve">fluid status closely in patients with pulmonary edema or heart failure. Throughout treatment monitor </w:t>
      </w:r>
      <w:r w:rsidRPr="008E7F5A">
        <w:rPr>
          <w:rFonts w:eastAsia="Times New Roman" w:cs="Times New Roman"/>
          <w:bCs/>
          <w:sz w:val="20"/>
          <w:szCs w:val="20"/>
        </w:rPr>
        <w:t xml:space="preserve">serum triglycerides, </w:t>
      </w:r>
      <w:r>
        <w:rPr>
          <w:rFonts w:eastAsia="Times New Roman" w:cs="Times New Roman"/>
          <w:bCs/>
          <w:sz w:val="20"/>
          <w:szCs w:val="20"/>
        </w:rPr>
        <w:t>fluid</w:t>
      </w:r>
      <w:r w:rsidRPr="008E7F5A">
        <w:rPr>
          <w:rFonts w:eastAsia="Times New Roman" w:cs="Times New Roman"/>
          <w:bCs/>
          <w:sz w:val="20"/>
          <w:szCs w:val="20"/>
        </w:rPr>
        <w:t xml:space="preserve"> and electrolyte status, serum osmolarity, blood glucose, liver </w:t>
      </w:r>
      <w:r>
        <w:rPr>
          <w:rFonts w:eastAsia="Times New Roman" w:cs="Times New Roman"/>
          <w:bCs/>
          <w:sz w:val="20"/>
          <w:szCs w:val="20"/>
        </w:rPr>
        <w:t xml:space="preserve">and </w:t>
      </w:r>
      <w:r w:rsidRPr="008E7F5A">
        <w:rPr>
          <w:rFonts w:eastAsia="Times New Roman" w:cs="Times New Roman"/>
          <w:bCs/>
          <w:sz w:val="20"/>
          <w:szCs w:val="20"/>
        </w:rPr>
        <w:t xml:space="preserve">kidney function, </w:t>
      </w:r>
      <w:r>
        <w:rPr>
          <w:rFonts w:eastAsia="Times New Roman" w:cs="Times New Roman"/>
          <w:bCs/>
          <w:sz w:val="20"/>
          <w:szCs w:val="20"/>
        </w:rPr>
        <w:t xml:space="preserve">blood count (including platelets) and coagulation parameters. KABIVEN and PERIKABIVEN contain Vitamin K that may counteract anticoagulant activity. </w:t>
      </w:r>
    </w:p>
    <w:p w14:paraId="18C29DCA" w14:textId="77777777" w:rsidR="00DB1AFC" w:rsidRPr="001D1E32" w:rsidRDefault="00DB1AFC" w:rsidP="00DB1AFC">
      <w:pPr>
        <w:pStyle w:val="ListParagraph"/>
        <w:spacing w:after="0" w:line="240" w:lineRule="auto"/>
        <w:ind w:left="432"/>
        <w:jc w:val="both"/>
        <w:rPr>
          <w:rFonts w:eastAsia="Times New Roman" w:cs="Times New Roman"/>
          <w:bCs/>
          <w:sz w:val="20"/>
          <w:szCs w:val="20"/>
        </w:rPr>
      </w:pPr>
      <w:r>
        <w:rPr>
          <w:rFonts w:eastAsia="Times New Roman" w:cs="Times New Roman"/>
          <w:bCs/>
          <w:sz w:val="20"/>
          <w:szCs w:val="20"/>
        </w:rPr>
        <w:t>The</w:t>
      </w:r>
      <w:r w:rsidRPr="008E7F5A">
        <w:rPr>
          <w:rFonts w:eastAsia="Times New Roman" w:cs="Times New Roman"/>
          <w:bCs/>
          <w:sz w:val="20"/>
          <w:szCs w:val="20"/>
        </w:rPr>
        <w:t xml:space="preserve"> lipids </w:t>
      </w:r>
      <w:r>
        <w:rPr>
          <w:rFonts w:eastAsia="Times New Roman" w:cs="Times New Roman"/>
          <w:bCs/>
          <w:sz w:val="20"/>
          <w:szCs w:val="20"/>
        </w:rPr>
        <w:t>contained in KABIVEN and PERIKABIVEN</w:t>
      </w:r>
      <w:r w:rsidRPr="008E7F5A">
        <w:rPr>
          <w:rFonts w:eastAsia="Times New Roman" w:cs="Times New Roman"/>
          <w:bCs/>
          <w:sz w:val="20"/>
          <w:szCs w:val="20"/>
        </w:rPr>
        <w:t xml:space="preserve"> may interfere with some laboratory blood tests </w:t>
      </w:r>
      <w:r>
        <w:rPr>
          <w:rFonts w:eastAsia="Times New Roman" w:cs="Times New Roman"/>
          <w:bCs/>
          <w:sz w:val="20"/>
          <w:szCs w:val="20"/>
        </w:rPr>
        <w:t xml:space="preserve">(e.g., </w:t>
      </w:r>
      <w:r w:rsidRPr="008E7F5A">
        <w:rPr>
          <w:rFonts w:eastAsia="Times New Roman" w:cs="Times New Roman"/>
          <w:bCs/>
          <w:sz w:val="20"/>
          <w:szCs w:val="20"/>
        </w:rPr>
        <w:t>hemoglobin, triglycerides, bilirubin, and oxygen saturation</w:t>
      </w:r>
      <w:r>
        <w:rPr>
          <w:rFonts w:eastAsia="Times New Roman" w:cs="Times New Roman"/>
          <w:bCs/>
          <w:sz w:val="20"/>
          <w:szCs w:val="20"/>
        </w:rPr>
        <w:t>)</w:t>
      </w:r>
      <w:r w:rsidRPr="008E7F5A">
        <w:rPr>
          <w:rFonts w:eastAsia="Times New Roman" w:cs="Times New Roman"/>
          <w:bCs/>
          <w:sz w:val="20"/>
          <w:szCs w:val="20"/>
        </w:rPr>
        <w:t>, if blood is sampled before lipid</w:t>
      </w:r>
      <w:r>
        <w:rPr>
          <w:rFonts w:eastAsia="Times New Roman" w:cs="Times New Roman"/>
          <w:bCs/>
          <w:sz w:val="20"/>
          <w:szCs w:val="20"/>
        </w:rPr>
        <w:t xml:space="preserve">s </w:t>
      </w:r>
      <w:r w:rsidRPr="008E7F5A">
        <w:rPr>
          <w:rFonts w:eastAsia="Times New Roman" w:cs="Times New Roman"/>
          <w:bCs/>
          <w:sz w:val="20"/>
          <w:szCs w:val="20"/>
        </w:rPr>
        <w:t xml:space="preserve">have been cleared from the bloodstream. </w:t>
      </w:r>
      <w:r>
        <w:rPr>
          <w:rFonts w:eastAsia="Times New Roman" w:cs="Times New Roman"/>
          <w:bCs/>
          <w:sz w:val="20"/>
          <w:szCs w:val="20"/>
        </w:rPr>
        <w:t xml:space="preserve">Conduct these tests at least 6 hours after stopping the infusion.  </w:t>
      </w:r>
      <w:r w:rsidRPr="008E7F5A">
        <w:rPr>
          <w:rFonts w:eastAsia="Times New Roman" w:cs="Times New Roman"/>
          <w:bCs/>
          <w:sz w:val="20"/>
          <w:szCs w:val="20"/>
        </w:rPr>
        <w:t xml:space="preserve">  </w:t>
      </w:r>
    </w:p>
    <w:p w14:paraId="7D2C07D9" w14:textId="77777777" w:rsidR="00DB1AFC" w:rsidRPr="008E7F5A" w:rsidRDefault="00DB1AFC" w:rsidP="00DB1AFC">
      <w:pPr>
        <w:jc w:val="both"/>
        <w:rPr>
          <w:rFonts w:eastAsia="Times New Roman" w:cs="Times New Roman"/>
          <w:bCs/>
          <w:sz w:val="20"/>
          <w:szCs w:val="20"/>
        </w:rPr>
      </w:pPr>
    </w:p>
    <w:p w14:paraId="1D361C40" w14:textId="77777777" w:rsidR="00DB1AFC" w:rsidRPr="008E7F5A" w:rsidRDefault="00DB1AFC" w:rsidP="00DB1AFC">
      <w:pPr>
        <w:jc w:val="both"/>
        <w:rPr>
          <w:rFonts w:eastAsia="Times New Roman" w:cs="Times New Roman"/>
          <w:bCs/>
          <w:sz w:val="20"/>
          <w:szCs w:val="20"/>
          <w:u w:val="single"/>
        </w:rPr>
      </w:pPr>
      <w:r w:rsidRPr="008E7F5A">
        <w:rPr>
          <w:rFonts w:eastAsia="Times New Roman" w:cs="Times New Roman"/>
          <w:b/>
          <w:bCs/>
          <w:sz w:val="20"/>
          <w:szCs w:val="20"/>
        </w:rPr>
        <w:t xml:space="preserve">ADVERSE REACTIONS </w:t>
      </w:r>
    </w:p>
    <w:p w14:paraId="3FE68603" w14:textId="77777777" w:rsidR="00DB1AFC" w:rsidRPr="008E7F5A" w:rsidRDefault="00DB1AFC" w:rsidP="00DB1AFC">
      <w:pPr>
        <w:jc w:val="both"/>
        <w:rPr>
          <w:rFonts w:eastAsia="Times New Roman" w:cs="Times New Roman"/>
          <w:bCs/>
          <w:sz w:val="20"/>
          <w:szCs w:val="20"/>
          <w:u w:val="single"/>
        </w:rPr>
      </w:pPr>
      <w:r w:rsidRPr="008E7F5A">
        <w:rPr>
          <w:rFonts w:eastAsia="Times New Roman" w:cs="Times New Roman"/>
          <w:bCs/>
          <w:sz w:val="20"/>
          <w:szCs w:val="20"/>
          <w:u w:val="single"/>
        </w:rPr>
        <w:t>Clinical Trials Experience</w:t>
      </w:r>
    </w:p>
    <w:p w14:paraId="09AFF4DD" w14:textId="77777777" w:rsidR="00DB1AFC" w:rsidRPr="008E7F5A" w:rsidRDefault="00DB1AFC" w:rsidP="00DB1AFC">
      <w:pPr>
        <w:jc w:val="both"/>
        <w:rPr>
          <w:rFonts w:eastAsia="Times New Roman" w:cs="Times New Roman"/>
          <w:sz w:val="20"/>
          <w:szCs w:val="20"/>
        </w:rPr>
      </w:pPr>
      <w:r w:rsidRPr="008E7F5A">
        <w:rPr>
          <w:rFonts w:eastAsia="Times New Roman" w:cs="Times New Roman"/>
          <w:sz w:val="20"/>
          <w:szCs w:val="20"/>
        </w:rPr>
        <w:t xml:space="preserve">Adverse reactions occurring in &gt;1% of patients who received </w:t>
      </w:r>
      <w:r w:rsidRPr="008E7F5A">
        <w:rPr>
          <w:rFonts w:eastAsia="Times New Roman" w:cs="Times New Roman"/>
          <w:b/>
          <w:sz w:val="20"/>
          <w:szCs w:val="20"/>
        </w:rPr>
        <w:t>KABIVEN</w:t>
      </w:r>
      <w:r w:rsidRPr="008E7F5A">
        <w:rPr>
          <w:rFonts w:eastAsia="Times New Roman" w:cs="Times New Roman"/>
          <w:sz w:val="20"/>
          <w:szCs w:val="20"/>
        </w:rPr>
        <w:t xml:space="preserve"> were nausea, pyrexia, hypertension, vomiting, decreased hemoglobin, decreased total protein, hypokalemia, decreased blood potassium, increased gamma-</w:t>
      </w:r>
      <w:proofErr w:type="spellStart"/>
      <w:r w:rsidRPr="008E7F5A">
        <w:rPr>
          <w:rFonts w:eastAsia="Times New Roman" w:cs="Times New Roman"/>
          <w:sz w:val="20"/>
          <w:szCs w:val="20"/>
        </w:rPr>
        <w:t>glutamyltransferase</w:t>
      </w:r>
      <w:proofErr w:type="spellEnd"/>
      <w:r w:rsidRPr="008E7F5A">
        <w:rPr>
          <w:rFonts w:eastAsia="Times New Roman" w:cs="Times New Roman"/>
          <w:sz w:val="20"/>
          <w:szCs w:val="20"/>
        </w:rPr>
        <w:t xml:space="preserve">, hyperglycemia, increased blood alkaline phosphatase, decreased blood calcium, prolonged prothrombin time, </w:t>
      </w:r>
      <w:proofErr w:type="gramStart"/>
      <w:r w:rsidRPr="008E7F5A">
        <w:rPr>
          <w:rFonts w:eastAsia="Times New Roman" w:cs="Times New Roman"/>
          <w:sz w:val="20"/>
          <w:szCs w:val="20"/>
        </w:rPr>
        <w:t>pruritus</w:t>
      </w:r>
      <w:proofErr w:type="gramEnd"/>
      <w:r w:rsidRPr="008E7F5A">
        <w:rPr>
          <w:rFonts w:eastAsia="Times New Roman" w:cs="Times New Roman"/>
          <w:sz w:val="20"/>
          <w:szCs w:val="20"/>
        </w:rPr>
        <w:t xml:space="preserve"> and tachycardia.</w:t>
      </w:r>
    </w:p>
    <w:p w14:paraId="3E51789C" w14:textId="77777777" w:rsidR="00DB1AFC" w:rsidRPr="008E7F5A" w:rsidRDefault="00DB1AFC" w:rsidP="00DB1AFC">
      <w:pPr>
        <w:autoSpaceDE w:val="0"/>
        <w:autoSpaceDN w:val="0"/>
        <w:adjustRightInd w:val="0"/>
        <w:jc w:val="both"/>
        <w:rPr>
          <w:rFonts w:eastAsia="TimesNewRomanPSMT" w:cs="TimesNewRomanPSMT"/>
          <w:sz w:val="20"/>
          <w:szCs w:val="20"/>
        </w:rPr>
      </w:pPr>
    </w:p>
    <w:p w14:paraId="568CC699" w14:textId="77777777" w:rsidR="00DB1AFC" w:rsidRDefault="00DB1AFC" w:rsidP="00DB1AFC">
      <w:pPr>
        <w:jc w:val="both"/>
        <w:rPr>
          <w:rFonts w:eastAsia="TimesNewRomanPSMT" w:cs="TimesNewRomanPSMT"/>
          <w:sz w:val="20"/>
          <w:szCs w:val="20"/>
        </w:rPr>
      </w:pPr>
      <w:r w:rsidRPr="008E7F5A">
        <w:rPr>
          <w:rFonts w:eastAsia="TimesNewRomanPSMT" w:cs="TimesNewRomanPSMT"/>
          <w:sz w:val="20"/>
          <w:szCs w:val="20"/>
        </w:rPr>
        <w:t xml:space="preserve">Less common adverse reactions in ≤1% of patients who received </w:t>
      </w:r>
      <w:r w:rsidRPr="008E7F5A">
        <w:rPr>
          <w:rFonts w:eastAsia="TimesNewRomanPSMT" w:cs="TimesNewRomanPSMT"/>
          <w:b/>
          <w:sz w:val="20"/>
          <w:szCs w:val="20"/>
        </w:rPr>
        <w:t>KABIVEN</w:t>
      </w:r>
      <w:r w:rsidRPr="008E7F5A">
        <w:rPr>
          <w:rFonts w:eastAsia="TimesNewRomanPSMT" w:cs="TimesNewRomanPSMT"/>
          <w:sz w:val="20"/>
          <w:szCs w:val="20"/>
        </w:rPr>
        <w:t xml:space="preserve"> were hyperkalemia, hypertriglyceridemia, headache, dizziness, dysgeusia, rash, eczema, blood glucose increased, and increase in blood triglycerides.</w:t>
      </w:r>
    </w:p>
    <w:p w14:paraId="71ABB1D2" w14:textId="77777777" w:rsidR="00DB1AFC" w:rsidRDefault="00DB1AFC" w:rsidP="00DB1AFC">
      <w:pPr>
        <w:autoSpaceDE w:val="0"/>
        <w:autoSpaceDN w:val="0"/>
        <w:adjustRightInd w:val="0"/>
        <w:jc w:val="both"/>
        <w:rPr>
          <w:rFonts w:eastAsia="TimesNewRomanPSMT" w:cs="TimesNewRomanPSMT"/>
          <w:sz w:val="20"/>
          <w:szCs w:val="20"/>
        </w:rPr>
      </w:pPr>
    </w:p>
    <w:p w14:paraId="62D1C81D" w14:textId="77777777" w:rsidR="00DB1AFC" w:rsidRPr="008E7F5A" w:rsidRDefault="00DB1AFC" w:rsidP="00DB1AFC">
      <w:pPr>
        <w:autoSpaceDE w:val="0"/>
        <w:autoSpaceDN w:val="0"/>
        <w:adjustRightInd w:val="0"/>
        <w:jc w:val="both"/>
        <w:rPr>
          <w:rFonts w:eastAsia="TimesNewRomanPSMT" w:cs="TimesNewRomanPSMT"/>
          <w:sz w:val="20"/>
          <w:szCs w:val="20"/>
        </w:rPr>
      </w:pPr>
      <w:r w:rsidRPr="008E7F5A">
        <w:rPr>
          <w:rFonts w:eastAsia="TimesNewRomanPSMT" w:cs="TimesNewRomanPSMT"/>
          <w:sz w:val="20"/>
          <w:szCs w:val="20"/>
        </w:rPr>
        <w:t xml:space="preserve">Adverse reactions occurring in &gt;2% of patients who received </w:t>
      </w:r>
      <w:r w:rsidRPr="008E7F5A">
        <w:rPr>
          <w:rFonts w:eastAsia="TimesNewRomanPSMT" w:cs="TimesNewRomanPSMT"/>
          <w:b/>
          <w:sz w:val="20"/>
          <w:szCs w:val="20"/>
        </w:rPr>
        <w:t>PERIKABIVEN</w:t>
      </w:r>
      <w:r w:rsidRPr="008E7F5A">
        <w:rPr>
          <w:rFonts w:eastAsia="TimesNewRomanPSMT" w:cs="TimesNewRomanPSMT"/>
          <w:sz w:val="20"/>
          <w:szCs w:val="20"/>
        </w:rPr>
        <w:t xml:space="preserve"> were hyperglycemia, hypokalemia, pyrexia, increased blood triglycerides, phlebitis, nausea, pruritus, increased gamma-</w:t>
      </w:r>
      <w:proofErr w:type="spellStart"/>
      <w:r w:rsidRPr="008E7F5A">
        <w:rPr>
          <w:rFonts w:eastAsia="TimesNewRomanPSMT" w:cs="TimesNewRomanPSMT"/>
          <w:sz w:val="20"/>
          <w:szCs w:val="20"/>
        </w:rPr>
        <w:t>glutamyltransferase</w:t>
      </w:r>
      <w:proofErr w:type="spellEnd"/>
      <w:r w:rsidRPr="008E7F5A">
        <w:rPr>
          <w:rFonts w:eastAsia="TimesNewRomanPSMT" w:cs="TimesNewRomanPSMT"/>
          <w:sz w:val="20"/>
          <w:szCs w:val="20"/>
        </w:rPr>
        <w:t>, increased blood alkaline phosphatase,</w:t>
      </w:r>
      <w:r w:rsidRPr="008E7F5A">
        <w:rPr>
          <w:rFonts w:eastAsia="AntiqueOliveStd-Light" w:cs="AntiqueOliveStd-Light"/>
          <w:sz w:val="20"/>
          <w:szCs w:val="20"/>
        </w:rPr>
        <w:t xml:space="preserve"> </w:t>
      </w:r>
      <w:r w:rsidRPr="008E7F5A">
        <w:rPr>
          <w:rFonts w:eastAsia="TimesNewRomanPSMT" w:cs="TimesNewRomanPSMT"/>
          <w:sz w:val="20"/>
          <w:szCs w:val="20"/>
        </w:rPr>
        <w:t xml:space="preserve">increased alanine aminotransferase, increased blood glucose, increased C-reactive protein, increased blood urea and hypoalbuminemia. </w:t>
      </w:r>
    </w:p>
    <w:p w14:paraId="24F6E012" w14:textId="77777777" w:rsidR="00DB1AFC" w:rsidRPr="008E7F5A" w:rsidRDefault="00DB1AFC" w:rsidP="00DB1AFC">
      <w:pPr>
        <w:jc w:val="both"/>
        <w:rPr>
          <w:rFonts w:eastAsia="TimesNewRomanPSMT" w:cs="TimesNewRomanPSMT"/>
          <w:sz w:val="20"/>
          <w:szCs w:val="20"/>
        </w:rPr>
      </w:pPr>
    </w:p>
    <w:p w14:paraId="2DFEDCB8" w14:textId="77777777" w:rsidR="00DB1AFC" w:rsidRDefault="00DB1AFC" w:rsidP="00DB1AFC">
      <w:pPr>
        <w:jc w:val="both"/>
        <w:rPr>
          <w:rFonts w:eastAsia="TimesNewRomanPSMT" w:cs="TimesNewRomanPSMT"/>
          <w:sz w:val="20"/>
          <w:szCs w:val="20"/>
        </w:rPr>
      </w:pPr>
      <w:r w:rsidRPr="008E7F5A">
        <w:rPr>
          <w:rFonts w:eastAsia="TimesNewRomanPSMT" w:cs="TimesNewRomanPSMT"/>
          <w:sz w:val="20"/>
          <w:szCs w:val="20"/>
        </w:rPr>
        <w:t xml:space="preserve">Less common adverse reactions in ≤1% of patients who received </w:t>
      </w:r>
      <w:r w:rsidRPr="008E7F5A">
        <w:rPr>
          <w:rFonts w:eastAsia="TimesNewRomanPSMT" w:cs="TimesNewRomanPSMT"/>
          <w:b/>
          <w:sz w:val="20"/>
          <w:szCs w:val="20"/>
        </w:rPr>
        <w:t>PERIKABIVEN</w:t>
      </w:r>
      <w:r w:rsidRPr="008E7F5A">
        <w:rPr>
          <w:rFonts w:eastAsia="TimesNewRomanPSMT" w:cs="TimesNewRomanPSMT"/>
          <w:sz w:val="20"/>
          <w:szCs w:val="20"/>
        </w:rPr>
        <w:t xml:space="preserve"> were hyperkalemia, hypomagnesaemia, hypernatremia, tachycardia, hypertension, thrombophlebitis, vomiting, jaundice, </w:t>
      </w:r>
      <w:proofErr w:type="gramStart"/>
      <w:r w:rsidRPr="008E7F5A">
        <w:rPr>
          <w:rFonts w:eastAsia="TimesNewRomanPSMT" w:cs="TimesNewRomanPSMT"/>
          <w:sz w:val="20"/>
          <w:szCs w:val="20"/>
        </w:rPr>
        <w:t>rash</w:t>
      </w:r>
      <w:proofErr w:type="gramEnd"/>
      <w:r w:rsidRPr="008E7F5A">
        <w:rPr>
          <w:rFonts w:eastAsia="TimesNewRomanPSMT" w:cs="TimesNewRomanPSMT"/>
          <w:sz w:val="20"/>
          <w:szCs w:val="20"/>
        </w:rPr>
        <w:t xml:space="preserve"> and increased blood bilirubin.</w:t>
      </w:r>
    </w:p>
    <w:p w14:paraId="256651F1" w14:textId="77777777" w:rsidR="00DB1AFC" w:rsidRPr="008E7F5A" w:rsidRDefault="00DB1AFC" w:rsidP="00DB1AFC">
      <w:pPr>
        <w:jc w:val="both"/>
        <w:rPr>
          <w:rFonts w:eastAsia="TimesNewRomanPSMT" w:cs="TimesNewRomanPSMT"/>
          <w:sz w:val="20"/>
          <w:szCs w:val="20"/>
        </w:rPr>
      </w:pPr>
    </w:p>
    <w:p w14:paraId="61624EE2" w14:textId="77777777" w:rsidR="00DB1AFC" w:rsidRDefault="00DB1AFC" w:rsidP="00DB1AFC">
      <w:pPr>
        <w:jc w:val="both"/>
        <w:rPr>
          <w:rFonts w:eastAsia="Times New Roman" w:cs="Times New Roman"/>
          <w:sz w:val="20"/>
          <w:szCs w:val="20"/>
        </w:rPr>
      </w:pPr>
      <w:r w:rsidRPr="002C1AF7">
        <w:rPr>
          <w:rFonts w:eastAsia="TimesNewRomanPSMT" w:cs="TimesNewRomanPSMT"/>
          <w:sz w:val="20"/>
          <w:szCs w:val="20"/>
        </w:rPr>
        <w:t>In a randomized active-controlled, double-blind, parallel-group, multi-center study that included 152 neonates and 9 patients ranging in age from 29 to 153 days who were expected to require PN for at least 28 days, parenteral nutrition-associated cholestasis (PNAC), a precursor to PNALD, developed more frequently in Intralipid-treated patients than in patients treated with a 4-oil mixed lipid emulsion. Intralipid is the lipid emulsion component of KABIVEN</w:t>
      </w:r>
      <w:r>
        <w:rPr>
          <w:rFonts w:eastAsia="TimesNewRomanPSMT" w:cs="TimesNewRomanPSMT"/>
          <w:sz w:val="20"/>
          <w:szCs w:val="20"/>
        </w:rPr>
        <w:t xml:space="preserve"> and PERIKABIVEN</w:t>
      </w:r>
      <w:r w:rsidRPr="002C1AF7">
        <w:rPr>
          <w:rFonts w:eastAsia="TimesNewRomanPSMT" w:cs="TimesNewRomanPSMT"/>
          <w:sz w:val="20"/>
          <w:szCs w:val="20"/>
        </w:rPr>
        <w:t>.</w:t>
      </w:r>
      <w:r w:rsidRPr="00924F13">
        <w:rPr>
          <w:rFonts w:eastAsia="TimesNewRomanPSMT" w:cs="TimesNewRomanPSMT"/>
          <w:sz w:val="20"/>
          <w:szCs w:val="20"/>
        </w:rPr>
        <w:t xml:space="preserve"> </w:t>
      </w:r>
      <w:r>
        <w:rPr>
          <w:rFonts w:eastAsia="TimesNewRomanPSMT" w:cs="TimesNewRomanPSMT"/>
          <w:sz w:val="20"/>
          <w:szCs w:val="20"/>
        </w:rPr>
        <w:t xml:space="preserve"> </w:t>
      </w:r>
      <w:r w:rsidRPr="00924F13">
        <w:rPr>
          <w:rFonts w:eastAsia="TimesNewRomanPSMT" w:cs="TimesNewRomanPSMT"/>
          <w:sz w:val="20"/>
          <w:szCs w:val="20"/>
        </w:rPr>
        <w:t>PNAC (defined as direct bilirubin &gt;2mg/dl with a second confirmed elevation &gt;2mg/dl at least 7 days later) occurred in 11.5% (9/78) of Intralipid-treated patients and 2.4% (2/83) of patients treated with a 4-oil mixed lipid emulsion. Most PNAC events occurred in patients who were treated for longer than 28 days.</w:t>
      </w:r>
    </w:p>
    <w:p w14:paraId="1379271F" w14:textId="77777777" w:rsidR="00DB1AFC" w:rsidRPr="008E7F5A" w:rsidRDefault="00DB1AFC" w:rsidP="00DB1AFC">
      <w:pPr>
        <w:jc w:val="both"/>
        <w:rPr>
          <w:rFonts w:eastAsia="Times New Roman" w:cs="Times New Roman"/>
          <w:sz w:val="20"/>
          <w:szCs w:val="20"/>
        </w:rPr>
      </w:pPr>
    </w:p>
    <w:p w14:paraId="29DE7CC5" w14:textId="77777777" w:rsidR="00DB1AFC" w:rsidRPr="008E7F5A" w:rsidRDefault="00DB1AFC" w:rsidP="00DB1AFC">
      <w:pPr>
        <w:jc w:val="both"/>
        <w:rPr>
          <w:rFonts w:eastAsia="Times New Roman" w:cs="Times New Roman"/>
          <w:sz w:val="20"/>
          <w:szCs w:val="20"/>
          <w:u w:val="single"/>
        </w:rPr>
      </w:pPr>
      <w:r w:rsidRPr="008E7F5A">
        <w:rPr>
          <w:rFonts w:eastAsia="Times New Roman" w:cs="Times New Roman"/>
          <w:sz w:val="20"/>
          <w:szCs w:val="20"/>
          <w:u w:val="single"/>
        </w:rPr>
        <w:t xml:space="preserve">Post-Marketing Experience </w:t>
      </w:r>
    </w:p>
    <w:p w14:paraId="5765675C" w14:textId="77777777" w:rsidR="00DB1AFC" w:rsidRPr="008E7F5A" w:rsidRDefault="00DB1AFC" w:rsidP="00DB1AFC">
      <w:pPr>
        <w:autoSpaceDE w:val="0"/>
        <w:autoSpaceDN w:val="0"/>
        <w:adjustRightInd w:val="0"/>
        <w:jc w:val="both"/>
        <w:rPr>
          <w:rFonts w:cs="Times New Roman"/>
          <w:sz w:val="20"/>
          <w:szCs w:val="20"/>
        </w:rPr>
      </w:pPr>
      <w:r w:rsidRPr="008E7F5A">
        <w:rPr>
          <w:rFonts w:cs="Times New Roman"/>
          <w:sz w:val="20"/>
          <w:szCs w:val="20"/>
        </w:rPr>
        <w:t xml:space="preserve">The following additional adverse reactions have been identified during post-approval use of </w:t>
      </w:r>
      <w:r w:rsidRPr="008E7F5A">
        <w:rPr>
          <w:rFonts w:cs="Times New Roman"/>
          <w:b/>
          <w:sz w:val="20"/>
          <w:szCs w:val="20"/>
        </w:rPr>
        <w:t>KABIVEN</w:t>
      </w:r>
      <w:r w:rsidRPr="008E7F5A">
        <w:rPr>
          <w:rFonts w:cs="Times New Roman"/>
          <w:sz w:val="20"/>
          <w:szCs w:val="20"/>
        </w:rPr>
        <w:t xml:space="preserve"> in countries where it is registered.  Hepatobiliary disorders:  cholestasis.   Infections and infestations:  infection.  Nervous system disorders:  subependymal hemorrhage.</w:t>
      </w:r>
    </w:p>
    <w:p w14:paraId="683B0D6F" w14:textId="77777777" w:rsidR="00DB1AFC" w:rsidRPr="008E7F5A" w:rsidRDefault="00DB1AFC" w:rsidP="00DB1AFC">
      <w:pPr>
        <w:autoSpaceDE w:val="0"/>
        <w:autoSpaceDN w:val="0"/>
        <w:adjustRightInd w:val="0"/>
        <w:jc w:val="both"/>
        <w:rPr>
          <w:rFonts w:cs="Times New Roman"/>
          <w:sz w:val="20"/>
          <w:szCs w:val="20"/>
        </w:rPr>
      </w:pPr>
    </w:p>
    <w:p w14:paraId="3C7F536F" w14:textId="77777777" w:rsidR="00DB1AFC" w:rsidRPr="008E7F5A" w:rsidRDefault="00DB1AFC" w:rsidP="00DB1AFC">
      <w:pPr>
        <w:autoSpaceDE w:val="0"/>
        <w:autoSpaceDN w:val="0"/>
        <w:adjustRightInd w:val="0"/>
        <w:jc w:val="both"/>
        <w:rPr>
          <w:rFonts w:cs="Times New Roman"/>
          <w:sz w:val="20"/>
          <w:szCs w:val="20"/>
        </w:rPr>
      </w:pPr>
      <w:r w:rsidRPr="008E7F5A">
        <w:rPr>
          <w:rFonts w:cs="Times New Roman"/>
          <w:sz w:val="20"/>
          <w:szCs w:val="20"/>
        </w:rPr>
        <w:t xml:space="preserve">The following additional adverse reactions have been identified during post-approval use of </w:t>
      </w:r>
      <w:r w:rsidRPr="008E7F5A">
        <w:rPr>
          <w:rFonts w:cs="Times New Roman"/>
          <w:b/>
          <w:sz w:val="20"/>
          <w:szCs w:val="20"/>
        </w:rPr>
        <w:t>PERIKABIVEN</w:t>
      </w:r>
      <w:r w:rsidRPr="008E7F5A">
        <w:rPr>
          <w:rFonts w:cs="Times New Roman"/>
          <w:sz w:val="20"/>
          <w:szCs w:val="20"/>
        </w:rPr>
        <w:t xml:space="preserve"> in countries where it is registered.  Gastrointestinal disorders:  abdominal distension, abdominal pain. General disorders and administration site conditions:  chest tightness.  Hepatobiliary disorders:  cholestasis.  Immune system disorders:  allergic reaction, anaphylaxis.  Infections and infestations: infection.   Vascular disorders:  flushed face.</w:t>
      </w:r>
    </w:p>
    <w:p w14:paraId="7BB0A9AE" w14:textId="77777777" w:rsidR="00DB1AFC" w:rsidRPr="008E7F5A" w:rsidRDefault="00DB1AFC" w:rsidP="00DB1AFC">
      <w:pPr>
        <w:autoSpaceDE w:val="0"/>
        <w:autoSpaceDN w:val="0"/>
        <w:adjustRightInd w:val="0"/>
        <w:jc w:val="both"/>
        <w:rPr>
          <w:rFonts w:eastAsia="Times New Roman" w:cs="Times New Roman"/>
          <w:sz w:val="20"/>
          <w:szCs w:val="20"/>
        </w:rPr>
      </w:pPr>
    </w:p>
    <w:p w14:paraId="436A68AE" w14:textId="77777777" w:rsidR="00DB1AFC" w:rsidRPr="008E7F5A" w:rsidRDefault="00DB1AFC" w:rsidP="00DB1AFC">
      <w:pPr>
        <w:jc w:val="both"/>
        <w:rPr>
          <w:rFonts w:eastAsia="Times New Roman" w:cs="Times New Roman"/>
          <w:sz w:val="20"/>
          <w:szCs w:val="20"/>
        </w:rPr>
      </w:pPr>
      <w:r w:rsidRPr="008E7F5A">
        <w:rPr>
          <w:rFonts w:eastAsia="Times New Roman" w:cs="Times New Roman"/>
          <w:b/>
          <w:bCs/>
          <w:sz w:val="20"/>
          <w:szCs w:val="20"/>
        </w:rPr>
        <w:t xml:space="preserve">To report SUSPECTED ADVERSE REACTIONS, contact Fresenius Kabi USA, LLC at 1-800-551-7176, </w:t>
      </w:r>
      <w:r w:rsidRPr="008E7F5A">
        <w:rPr>
          <w:b/>
          <w:bCs/>
          <w:sz w:val="20"/>
          <w:szCs w:val="20"/>
        </w:rPr>
        <w:t xml:space="preserve">option 5, </w:t>
      </w:r>
      <w:r w:rsidRPr="008E7F5A">
        <w:rPr>
          <w:rFonts w:eastAsia="Times New Roman" w:cs="Times New Roman"/>
          <w:b/>
          <w:bCs/>
          <w:sz w:val="20"/>
          <w:szCs w:val="20"/>
        </w:rPr>
        <w:t>or FDA at 1-800-FDA-1088 or www.fda.gov/medwatch</w:t>
      </w:r>
      <w:r w:rsidRPr="008E7F5A">
        <w:rPr>
          <w:rFonts w:eastAsia="Times New Roman" w:cs="Times New Roman"/>
          <w:b/>
          <w:bCs/>
          <w:i/>
          <w:iCs/>
          <w:sz w:val="20"/>
          <w:szCs w:val="20"/>
        </w:rPr>
        <w:t xml:space="preserve">. </w:t>
      </w:r>
    </w:p>
    <w:p w14:paraId="643EA769" w14:textId="77777777" w:rsidR="00DB1AFC" w:rsidRPr="008E7F5A" w:rsidRDefault="00DB1AFC" w:rsidP="00DB1AFC">
      <w:pPr>
        <w:jc w:val="both"/>
        <w:rPr>
          <w:rFonts w:eastAsia="Times New Roman" w:cs="Times New Roman"/>
          <w:b/>
          <w:bCs/>
          <w:sz w:val="20"/>
          <w:szCs w:val="20"/>
        </w:rPr>
      </w:pPr>
    </w:p>
    <w:p w14:paraId="52A95CEE" w14:textId="77777777" w:rsidR="00DB1AFC" w:rsidRPr="008E7F5A" w:rsidRDefault="00DB1AFC" w:rsidP="00DB1AFC">
      <w:pPr>
        <w:jc w:val="both"/>
        <w:rPr>
          <w:rFonts w:eastAsia="Times New Roman" w:cs="Times New Roman"/>
          <w:b/>
          <w:bCs/>
          <w:sz w:val="20"/>
          <w:szCs w:val="20"/>
        </w:rPr>
      </w:pPr>
      <w:r w:rsidRPr="008E7F5A">
        <w:rPr>
          <w:rFonts w:eastAsia="Times New Roman" w:cs="Times New Roman"/>
          <w:b/>
          <w:bCs/>
          <w:sz w:val="20"/>
          <w:szCs w:val="20"/>
        </w:rPr>
        <w:t>DRUG INTERACTIONS</w:t>
      </w:r>
    </w:p>
    <w:p w14:paraId="465F04FB" w14:textId="77777777" w:rsidR="00DB1AFC" w:rsidRDefault="00DB1AFC" w:rsidP="00DB1AFC">
      <w:pPr>
        <w:jc w:val="both"/>
        <w:rPr>
          <w:rFonts w:eastAsia="Times New Roman" w:cs="Times New Roman"/>
          <w:sz w:val="20"/>
          <w:szCs w:val="20"/>
        </w:rPr>
      </w:pPr>
      <w:r>
        <w:rPr>
          <w:rFonts w:eastAsia="Times New Roman" w:cs="Times New Roman"/>
          <w:sz w:val="20"/>
          <w:szCs w:val="20"/>
        </w:rPr>
        <w:t xml:space="preserve">Ceftriaxone:  </w:t>
      </w:r>
      <w:r w:rsidRPr="002C1AF7">
        <w:rPr>
          <w:rFonts w:eastAsia="Times New Roman" w:cs="Times New Roman"/>
          <w:bCs/>
          <w:sz w:val="20"/>
          <w:szCs w:val="20"/>
        </w:rPr>
        <w:t xml:space="preserve">Precipitation of ceftriaxone-calcium can occur when ceftriaxone is mixed with calcium-containing </w:t>
      </w:r>
      <w:r>
        <w:rPr>
          <w:rFonts w:eastAsia="Times New Roman" w:cs="Times New Roman"/>
          <w:bCs/>
          <w:sz w:val="20"/>
          <w:szCs w:val="20"/>
        </w:rPr>
        <w:t xml:space="preserve">PN </w:t>
      </w:r>
      <w:r w:rsidRPr="002C1AF7">
        <w:rPr>
          <w:rFonts w:eastAsia="Times New Roman" w:cs="Times New Roman"/>
          <w:bCs/>
          <w:sz w:val="20"/>
          <w:szCs w:val="20"/>
        </w:rPr>
        <w:t>solutions, such as KABIVEN</w:t>
      </w:r>
      <w:r>
        <w:rPr>
          <w:rFonts w:eastAsia="Times New Roman" w:cs="Times New Roman"/>
          <w:bCs/>
          <w:sz w:val="20"/>
          <w:szCs w:val="20"/>
        </w:rPr>
        <w:t xml:space="preserve"> and PERIKABIVEN</w:t>
      </w:r>
      <w:r w:rsidRPr="002C1AF7">
        <w:rPr>
          <w:rFonts w:eastAsia="Times New Roman" w:cs="Times New Roman"/>
          <w:bCs/>
          <w:sz w:val="20"/>
          <w:szCs w:val="20"/>
        </w:rPr>
        <w:t>, in the same intravenous administration line. Do not administer ceftriaxone simultaneously with KABIVEN</w:t>
      </w:r>
      <w:r>
        <w:rPr>
          <w:rFonts w:eastAsia="Times New Roman" w:cs="Times New Roman"/>
          <w:bCs/>
          <w:sz w:val="20"/>
          <w:szCs w:val="20"/>
        </w:rPr>
        <w:t xml:space="preserve"> or PERIKABIVEN</w:t>
      </w:r>
      <w:r w:rsidRPr="002C1AF7">
        <w:rPr>
          <w:rFonts w:eastAsia="Times New Roman" w:cs="Times New Roman"/>
          <w:bCs/>
          <w:sz w:val="20"/>
          <w:szCs w:val="20"/>
        </w:rPr>
        <w:t xml:space="preserve"> via a Y-site.</w:t>
      </w:r>
      <w:r w:rsidRPr="002C1AF7">
        <w:rPr>
          <w:rFonts w:eastAsia="Times New Roman" w:cs="Times New Roman"/>
          <w:sz w:val="20"/>
          <w:szCs w:val="20"/>
        </w:rPr>
        <w:t xml:space="preserve"> </w:t>
      </w:r>
      <w:r w:rsidRPr="002C1AF7">
        <w:rPr>
          <w:rFonts w:eastAsia="Times New Roman" w:cs="Times New Roman"/>
          <w:bCs/>
          <w:sz w:val="20"/>
          <w:szCs w:val="20"/>
        </w:rPr>
        <w:t>However, ceftriaxone and KABIVEN</w:t>
      </w:r>
      <w:r>
        <w:rPr>
          <w:rFonts w:eastAsia="Times New Roman" w:cs="Times New Roman"/>
          <w:bCs/>
          <w:sz w:val="20"/>
          <w:szCs w:val="20"/>
        </w:rPr>
        <w:t xml:space="preserve"> or </w:t>
      </w:r>
      <w:r>
        <w:rPr>
          <w:rFonts w:eastAsia="Times New Roman" w:cs="Times New Roman"/>
          <w:bCs/>
          <w:sz w:val="20"/>
          <w:szCs w:val="20"/>
        </w:rPr>
        <w:lastRenderedPageBreak/>
        <w:t>PERIKABIVEN</w:t>
      </w:r>
      <w:r w:rsidRPr="002C1AF7">
        <w:rPr>
          <w:rFonts w:eastAsia="Times New Roman" w:cs="Times New Roman"/>
          <w:bCs/>
          <w:sz w:val="20"/>
          <w:szCs w:val="20"/>
        </w:rPr>
        <w:t xml:space="preserve"> may be administered sequentially if the infusion lines are thoroughly flushed between infusions with a compatible fluid</w:t>
      </w:r>
      <w:r>
        <w:rPr>
          <w:rFonts w:eastAsia="Times New Roman" w:cs="Times New Roman"/>
          <w:bCs/>
          <w:sz w:val="20"/>
          <w:szCs w:val="20"/>
        </w:rPr>
        <w:t xml:space="preserve">.  </w:t>
      </w:r>
      <w:r w:rsidRPr="002C1AF7">
        <w:rPr>
          <w:rFonts w:eastAsia="Times New Roman" w:cs="Times New Roman"/>
          <w:sz w:val="20"/>
          <w:szCs w:val="20"/>
        </w:rPr>
        <w:t>Deaths have occurred in neonates (28 days of age or younger) who received concomitant intravenous calcium-containing solutions with ceftriaxone resulting from calcium-ceftriaxone precipitates in the lungs and kidneys, even when separate infusion lines were used</w:t>
      </w:r>
      <w:r>
        <w:rPr>
          <w:rFonts w:eastAsia="Times New Roman" w:cs="Times New Roman"/>
          <w:sz w:val="20"/>
          <w:szCs w:val="20"/>
        </w:rPr>
        <w:t>.</w:t>
      </w:r>
    </w:p>
    <w:p w14:paraId="464EE7F3" w14:textId="77777777" w:rsidR="00DB1AFC" w:rsidRPr="002C1AF7" w:rsidRDefault="00DB1AFC" w:rsidP="00DB1AFC">
      <w:pPr>
        <w:jc w:val="both"/>
        <w:rPr>
          <w:rFonts w:eastAsia="Times New Roman" w:cs="Times New Roman"/>
          <w:bCs/>
          <w:sz w:val="20"/>
          <w:szCs w:val="20"/>
        </w:rPr>
      </w:pPr>
    </w:p>
    <w:p w14:paraId="5C253C27" w14:textId="77777777" w:rsidR="00DB1AFC" w:rsidRPr="002C1AF7" w:rsidRDefault="00DB1AFC" w:rsidP="00DB1AFC">
      <w:pPr>
        <w:jc w:val="both"/>
        <w:rPr>
          <w:rFonts w:eastAsia="Times New Roman"/>
          <w:sz w:val="20"/>
          <w:szCs w:val="20"/>
        </w:rPr>
      </w:pPr>
      <w:r w:rsidRPr="008E7F5A">
        <w:rPr>
          <w:rFonts w:eastAsia="Times New Roman" w:cs="Times New Roman"/>
          <w:sz w:val="20"/>
          <w:szCs w:val="20"/>
        </w:rPr>
        <w:t>Coumarin and Coumarin Derivatives</w:t>
      </w:r>
      <w:r>
        <w:rPr>
          <w:rFonts w:eastAsia="Times New Roman" w:cs="Times New Roman"/>
          <w:sz w:val="20"/>
          <w:szCs w:val="20"/>
        </w:rPr>
        <w:t xml:space="preserve">: </w:t>
      </w:r>
      <w:r w:rsidRPr="002C1AF7">
        <w:rPr>
          <w:rFonts w:ascii="Times New Roman" w:eastAsia="Times New Roman" w:hAnsi="Times New Roman" w:cs="Times New Roman"/>
        </w:rPr>
        <w:t xml:space="preserve"> </w:t>
      </w:r>
      <w:r w:rsidRPr="002C1AF7">
        <w:rPr>
          <w:rFonts w:eastAsia="Times New Roman"/>
          <w:sz w:val="20"/>
          <w:szCs w:val="20"/>
        </w:rPr>
        <w:t>The soybean oil present in KABIVEN</w:t>
      </w:r>
      <w:r>
        <w:rPr>
          <w:rFonts w:eastAsia="Times New Roman"/>
          <w:sz w:val="20"/>
          <w:szCs w:val="20"/>
        </w:rPr>
        <w:t xml:space="preserve"> and PERIKABIVEN</w:t>
      </w:r>
      <w:r w:rsidRPr="002C1AF7">
        <w:rPr>
          <w:rFonts w:eastAsia="Times New Roman"/>
          <w:sz w:val="20"/>
          <w:szCs w:val="20"/>
        </w:rPr>
        <w:t xml:space="preserve"> has vitamin K</w:t>
      </w:r>
      <w:r w:rsidRPr="002C1AF7">
        <w:rPr>
          <w:rFonts w:eastAsia="Times New Roman"/>
          <w:sz w:val="20"/>
          <w:szCs w:val="20"/>
          <w:vertAlign w:val="subscript"/>
        </w:rPr>
        <w:t>1</w:t>
      </w:r>
      <w:r w:rsidRPr="002C1AF7">
        <w:rPr>
          <w:rFonts w:eastAsia="Times New Roman"/>
          <w:sz w:val="20"/>
          <w:szCs w:val="20"/>
        </w:rPr>
        <w:t>. Vitamin K</w:t>
      </w:r>
      <w:r w:rsidRPr="002C1AF7">
        <w:rPr>
          <w:rFonts w:eastAsia="Times New Roman"/>
          <w:sz w:val="20"/>
          <w:szCs w:val="20"/>
          <w:vertAlign w:val="subscript"/>
        </w:rPr>
        <w:t>1</w:t>
      </w:r>
      <w:r w:rsidRPr="002C1AF7">
        <w:rPr>
          <w:rFonts w:eastAsia="Times New Roman"/>
          <w:sz w:val="20"/>
          <w:szCs w:val="20"/>
        </w:rPr>
        <w:t xml:space="preserve"> can reverse the anticoagulant activity of coumarin and coumarin derivatives, including warfarin, which work by blocking recycling of vitamin K</w:t>
      </w:r>
      <w:r w:rsidRPr="002C1AF7">
        <w:rPr>
          <w:rFonts w:eastAsia="Times New Roman"/>
          <w:sz w:val="20"/>
          <w:szCs w:val="20"/>
          <w:vertAlign w:val="subscript"/>
        </w:rPr>
        <w:t>1</w:t>
      </w:r>
      <w:r w:rsidRPr="002C1AF7">
        <w:rPr>
          <w:rFonts w:eastAsia="Times New Roman"/>
          <w:sz w:val="20"/>
          <w:szCs w:val="20"/>
        </w:rPr>
        <w:t xml:space="preserve">. Monitor laboratory parameters for anticoagulant activity in patients who are on both KABIVEN </w:t>
      </w:r>
      <w:r>
        <w:rPr>
          <w:rFonts w:eastAsia="Times New Roman"/>
          <w:sz w:val="20"/>
          <w:szCs w:val="20"/>
        </w:rPr>
        <w:t xml:space="preserve">or PERIKABIVEN </w:t>
      </w:r>
      <w:r w:rsidRPr="002C1AF7">
        <w:rPr>
          <w:rFonts w:eastAsia="Times New Roman"/>
          <w:sz w:val="20"/>
          <w:szCs w:val="20"/>
        </w:rPr>
        <w:t>and coumarin or coumarin derivatives.</w:t>
      </w:r>
    </w:p>
    <w:p w14:paraId="1B818D12" w14:textId="77777777" w:rsidR="00DB1AFC" w:rsidRPr="008E7F5A" w:rsidRDefault="00DB1AFC" w:rsidP="00DB1AFC">
      <w:pPr>
        <w:jc w:val="both"/>
        <w:rPr>
          <w:rFonts w:eastAsia="Times New Roman" w:cs="Times New Roman"/>
          <w:sz w:val="20"/>
          <w:szCs w:val="20"/>
        </w:rPr>
      </w:pPr>
    </w:p>
    <w:p w14:paraId="540DAA67" w14:textId="77777777" w:rsidR="00DB1AFC" w:rsidRPr="008E7F5A" w:rsidRDefault="00DB1AFC" w:rsidP="00DB1AFC">
      <w:pPr>
        <w:jc w:val="both"/>
        <w:rPr>
          <w:b/>
          <w:sz w:val="20"/>
          <w:szCs w:val="20"/>
        </w:rPr>
      </w:pPr>
    </w:p>
    <w:p w14:paraId="2B4F1A78" w14:textId="77777777" w:rsidR="00DB1AFC" w:rsidRDefault="00DB1AFC" w:rsidP="00DB1AFC">
      <w:pPr>
        <w:spacing w:after="120"/>
        <w:jc w:val="both"/>
        <w:rPr>
          <w:b/>
          <w:sz w:val="20"/>
          <w:szCs w:val="20"/>
        </w:rPr>
      </w:pPr>
      <w:r w:rsidRPr="008E7F5A">
        <w:rPr>
          <w:b/>
          <w:sz w:val="20"/>
          <w:szCs w:val="20"/>
        </w:rPr>
        <w:t>USE IN SPECIFIC POPULATIONS</w:t>
      </w:r>
    </w:p>
    <w:p w14:paraId="14B73A66" w14:textId="77777777" w:rsidR="00DB1AFC" w:rsidRDefault="00DB1AFC" w:rsidP="00DB1AFC">
      <w:pPr>
        <w:pStyle w:val="ListParagraph"/>
        <w:numPr>
          <w:ilvl w:val="0"/>
          <w:numId w:val="9"/>
        </w:numPr>
        <w:spacing w:after="240" w:line="240" w:lineRule="auto"/>
        <w:contextualSpacing w:val="0"/>
        <w:jc w:val="both"/>
        <w:rPr>
          <w:rFonts w:cs="Frutiger-Cn"/>
          <w:sz w:val="20"/>
          <w:szCs w:val="20"/>
        </w:rPr>
      </w:pPr>
      <w:r w:rsidRPr="00BD0E00">
        <w:rPr>
          <w:rFonts w:cs="Frutiger-Cn"/>
          <w:sz w:val="20"/>
          <w:szCs w:val="20"/>
        </w:rPr>
        <w:t>Pregnancy:  The limited available data on the use of KABIVEN and PERIKABIVEN in pregnant women are not sufficient to inform a drug-associated risk.  There are clinical considerations if KABIVEN or PERIKABIVEN is used in pregnant women.   Animal reproduction studies have not been conducted with KABIVEN and PERIKABIVEN.</w:t>
      </w:r>
    </w:p>
    <w:p w14:paraId="5448157F" w14:textId="77777777" w:rsidR="00DB1AFC" w:rsidRPr="00043F25" w:rsidRDefault="00DB1AFC" w:rsidP="00DB1AFC">
      <w:pPr>
        <w:pStyle w:val="ListParagraph"/>
        <w:numPr>
          <w:ilvl w:val="0"/>
          <w:numId w:val="9"/>
        </w:numPr>
        <w:spacing w:after="240" w:line="240" w:lineRule="auto"/>
        <w:contextualSpacing w:val="0"/>
        <w:jc w:val="both"/>
        <w:rPr>
          <w:rFonts w:cs="Frutiger-Cn"/>
          <w:sz w:val="18"/>
          <w:szCs w:val="18"/>
        </w:rPr>
      </w:pPr>
      <w:r w:rsidRPr="00043F25">
        <w:rPr>
          <w:sz w:val="20"/>
          <w:szCs w:val="20"/>
        </w:rPr>
        <w:t xml:space="preserve">Lactation:  </w:t>
      </w:r>
      <w:r w:rsidRPr="00043F25">
        <w:rPr>
          <w:rFonts w:cs="Times New Roman"/>
          <w:sz w:val="20"/>
          <w:szCs w:val="20"/>
        </w:rPr>
        <w:t xml:space="preserve">There are no data available to assess the presence of KABIVEN and PERIKABIVEN and/or its active metabolite(s) in human milk, the effects on the breastfed child or the effects on milk production. The developmental and health benefits of breastfeeding should be considered along with the mother’s clinical need for KABIVEN or PERIKABIVEN, and any potential adverse effects of KABIVEN and PERIKABIVEN on the breastfed child or from the underlying maternal condition.  </w:t>
      </w:r>
    </w:p>
    <w:p w14:paraId="6C6D9D0C" w14:textId="77777777" w:rsidR="00DB1AFC" w:rsidRPr="00043F25" w:rsidRDefault="00DB1AFC" w:rsidP="00DB1AFC">
      <w:pPr>
        <w:pStyle w:val="ListParagraph"/>
        <w:numPr>
          <w:ilvl w:val="0"/>
          <w:numId w:val="9"/>
        </w:numPr>
        <w:autoSpaceDE w:val="0"/>
        <w:autoSpaceDN w:val="0"/>
        <w:adjustRightInd w:val="0"/>
        <w:spacing w:after="120" w:line="240" w:lineRule="auto"/>
        <w:contextualSpacing w:val="0"/>
        <w:jc w:val="both"/>
        <w:rPr>
          <w:sz w:val="20"/>
          <w:szCs w:val="20"/>
        </w:rPr>
      </w:pPr>
      <w:r w:rsidRPr="00043F25">
        <w:rPr>
          <w:sz w:val="20"/>
          <w:szCs w:val="20"/>
        </w:rPr>
        <w:t xml:space="preserve">Pediatric Use:  </w:t>
      </w:r>
      <w:r w:rsidRPr="00043F25">
        <w:rPr>
          <w:rFonts w:cs="Times New Roman"/>
          <w:sz w:val="20"/>
          <w:szCs w:val="20"/>
        </w:rPr>
        <w:t xml:space="preserve">The safety and effectiveness of KABIVEN and PERIKABIVEN has not been established in pediatric patients of any age. In the </w:t>
      </w:r>
      <w:proofErr w:type="spellStart"/>
      <w:r w:rsidRPr="00043F25">
        <w:rPr>
          <w:rFonts w:cs="Times New Roman"/>
          <w:sz w:val="20"/>
          <w:szCs w:val="20"/>
        </w:rPr>
        <w:t>postmarketing</w:t>
      </w:r>
      <w:proofErr w:type="spellEnd"/>
      <w:r w:rsidRPr="00043F25">
        <w:rPr>
          <w:rFonts w:cs="Times New Roman"/>
          <w:sz w:val="20"/>
          <w:szCs w:val="20"/>
        </w:rPr>
        <w:t xml:space="preserve"> setting, clinical decompensation with rapid infusion of lipid </w:t>
      </w:r>
      <w:r>
        <w:rPr>
          <w:rFonts w:cs="Times New Roman"/>
          <w:sz w:val="20"/>
          <w:szCs w:val="20"/>
        </w:rPr>
        <w:t xml:space="preserve">injectable </w:t>
      </w:r>
      <w:r w:rsidRPr="00043F25">
        <w:rPr>
          <w:rFonts w:cs="Times New Roman"/>
          <w:sz w:val="20"/>
          <w:szCs w:val="20"/>
        </w:rPr>
        <w:t>emulsion</w:t>
      </w:r>
      <w:r>
        <w:rPr>
          <w:rFonts w:cs="Times New Roman"/>
          <w:sz w:val="20"/>
          <w:szCs w:val="20"/>
        </w:rPr>
        <w:t>s</w:t>
      </w:r>
      <w:r w:rsidRPr="00043F25">
        <w:rPr>
          <w:rFonts w:cs="Times New Roman"/>
          <w:sz w:val="20"/>
          <w:szCs w:val="20"/>
        </w:rPr>
        <w:t xml:space="preserve"> in neonates and infants, sometimes fatal has been reported.</w:t>
      </w:r>
    </w:p>
    <w:p w14:paraId="442ED57D" w14:textId="77777777" w:rsidR="00DB1AFC" w:rsidRPr="008E7F5A" w:rsidRDefault="00DB1AFC" w:rsidP="00DB1AFC">
      <w:pPr>
        <w:pStyle w:val="ListParagraph"/>
        <w:numPr>
          <w:ilvl w:val="0"/>
          <w:numId w:val="9"/>
        </w:numPr>
        <w:autoSpaceDE w:val="0"/>
        <w:autoSpaceDN w:val="0"/>
        <w:adjustRightInd w:val="0"/>
        <w:spacing w:after="120" w:line="240" w:lineRule="auto"/>
        <w:contextualSpacing w:val="0"/>
        <w:jc w:val="both"/>
        <w:rPr>
          <w:rFonts w:cs="Times New Roman"/>
          <w:bCs/>
          <w:sz w:val="20"/>
          <w:szCs w:val="20"/>
        </w:rPr>
      </w:pPr>
      <w:r w:rsidRPr="008E7F5A">
        <w:rPr>
          <w:sz w:val="20"/>
          <w:szCs w:val="20"/>
        </w:rPr>
        <w:t xml:space="preserve">Geriatric Use:  </w:t>
      </w:r>
      <w:r w:rsidRPr="008E7F5A">
        <w:rPr>
          <w:rFonts w:cs="Times New Roman"/>
          <w:sz w:val="20"/>
          <w:szCs w:val="20"/>
        </w:rPr>
        <w:t xml:space="preserve">Clinical studies of KABIVEN and PERIKABIVEN did not include </w:t>
      </w:r>
      <w:proofErr w:type="gramStart"/>
      <w:r w:rsidRPr="008E7F5A">
        <w:rPr>
          <w:rFonts w:cs="Times New Roman"/>
          <w:sz w:val="20"/>
          <w:szCs w:val="20"/>
        </w:rPr>
        <w:t>sufficient numbers of</w:t>
      </w:r>
      <w:proofErr w:type="gramEnd"/>
      <w:r w:rsidRPr="008E7F5A">
        <w:rPr>
          <w:rFonts w:cs="Times New Roman"/>
          <w:sz w:val="20"/>
          <w:szCs w:val="20"/>
        </w:rPr>
        <w:t xml:space="preserve"> patients aged 65 and over to determine whether they respond differently from other younger patients.  Other reported clinical experience has not identified differences in responses between the elderly and younger patients. In general, dose selection for an elderly patient should be cautious, usually starting at the low end of the dosing range, reflecting the greater frequency of decreased hepatic, renal, or cardiac function, and of concomitant disease or drug therapy.</w:t>
      </w:r>
    </w:p>
    <w:p w14:paraId="53C0E743" w14:textId="77777777" w:rsidR="00DB1AFC" w:rsidRDefault="00DB1AFC" w:rsidP="00DB1AFC">
      <w:pPr>
        <w:jc w:val="both"/>
        <w:rPr>
          <w:b/>
          <w:sz w:val="20"/>
          <w:szCs w:val="20"/>
        </w:rPr>
      </w:pPr>
    </w:p>
    <w:p w14:paraId="2A74E0CA" w14:textId="77777777" w:rsidR="00DB1AFC" w:rsidRPr="008E7F5A" w:rsidRDefault="00DB1AFC" w:rsidP="00DB1AFC">
      <w:pPr>
        <w:jc w:val="both"/>
        <w:rPr>
          <w:b/>
          <w:sz w:val="20"/>
          <w:szCs w:val="20"/>
        </w:rPr>
      </w:pPr>
      <w:r w:rsidRPr="008E7F5A">
        <w:rPr>
          <w:b/>
          <w:sz w:val="20"/>
          <w:szCs w:val="20"/>
        </w:rPr>
        <w:t>OVERDOSAGE</w:t>
      </w:r>
    </w:p>
    <w:p w14:paraId="60E06AFD" w14:textId="77777777" w:rsidR="00DB1AFC" w:rsidRDefault="00DB1AFC" w:rsidP="00DB1AFC">
      <w:pPr>
        <w:jc w:val="both"/>
        <w:rPr>
          <w:rFonts w:eastAsia="Times New Roman" w:cs="Times New Roman"/>
          <w:b/>
          <w:bCs/>
          <w:sz w:val="20"/>
          <w:szCs w:val="20"/>
        </w:rPr>
      </w:pPr>
      <w:r w:rsidRPr="008E7F5A">
        <w:rPr>
          <w:sz w:val="20"/>
          <w:szCs w:val="20"/>
        </w:rPr>
        <w:t xml:space="preserve">In the event of an overdose, </w:t>
      </w:r>
      <w:r>
        <w:rPr>
          <w:sz w:val="20"/>
          <w:szCs w:val="20"/>
        </w:rPr>
        <w:t xml:space="preserve">serious adverse reactions </w:t>
      </w:r>
      <w:r w:rsidRPr="008E7F5A">
        <w:rPr>
          <w:sz w:val="20"/>
          <w:szCs w:val="20"/>
        </w:rPr>
        <w:t>may result.  Stop the infusion</w:t>
      </w:r>
      <w:r w:rsidRPr="008E7F5A">
        <w:rPr>
          <w:rFonts w:cs="Times New Roman"/>
          <w:sz w:val="20"/>
          <w:szCs w:val="20"/>
        </w:rPr>
        <w:t xml:space="preserve"> </w:t>
      </w:r>
      <w:r>
        <w:rPr>
          <w:rFonts w:cs="Times New Roman"/>
          <w:sz w:val="20"/>
          <w:szCs w:val="20"/>
        </w:rPr>
        <w:t xml:space="preserve">of </w:t>
      </w:r>
      <w:r w:rsidRPr="008E7F5A">
        <w:rPr>
          <w:sz w:val="20"/>
          <w:szCs w:val="20"/>
        </w:rPr>
        <w:t>KABIVEN or PERIKABIVEN to allow lipids to clear from serum.   The effects are usually reversible after the lipid infusion is stopped. If medically appropriate, further intervention may be indicated. The lipid administered and fatty acids produced are not dialyzable.</w:t>
      </w:r>
    </w:p>
    <w:p w14:paraId="4B2DF88A" w14:textId="60B76F3C" w:rsidR="00DB1AFC" w:rsidRDefault="009636ED" w:rsidP="002028C1">
      <w:pPr>
        <w:autoSpaceDE w:val="0"/>
        <w:autoSpaceDN w:val="0"/>
        <w:adjustRightInd w:val="0"/>
        <w:spacing w:after="360"/>
        <w:rPr>
          <w:color w:val="FF0000"/>
          <w:sz w:val="22"/>
          <w:szCs w:val="22"/>
        </w:rPr>
      </w:pPr>
      <w:r>
        <w:rPr>
          <w:color w:val="FF0000"/>
          <w:sz w:val="22"/>
          <w:szCs w:val="22"/>
        </w:rPr>
        <w:t>\</w:t>
      </w:r>
    </w:p>
    <w:sectPr w:rsidR="00DB1AFC" w:rsidSect="007467F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Cn">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ntiqueOliveStd-Light">
    <w:altName w:val="Yu Gothic"/>
    <w:panose1 w:val="00000000000000000000"/>
    <w:charset w:val="80"/>
    <w:family w:val="swiss"/>
    <w:notTrueType/>
    <w:pitch w:val="default"/>
    <w:sig w:usb0="00000001" w:usb1="08070000" w:usb2="00000010" w:usb3="00000000" w:csb0="00020000" w:csb1="00000000"/>
  </w:font>
  <w:font w:name="Frutiger-C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0060"/>
    <w:multiLevelType w:val="hybridMultilevel"/>
    <w:tmpl w:val="3258D632"/>
    <w:lvl w:ilvl="0" w:tplc="4F56304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B0AE0"/>
    <w:multiLevelType w:val="hybridMultilevel"/>
    <w:tmpl w:val="21B47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073B"/>
    <w:multiLevelType w:val="hybridMultilevel"/>
    <w:tmpl w:val="152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3AB7"/>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04CE5"/>
    <w:multiLevelType w:val="multilevel"/>
    <w:tmpl w:val="6A781550"/>
    <w:lvl w:ilvl="0">
      <w:start w:val="1"/>
      <w:numFmt w:val="bullet"/>
      <w:lvlText w:val=""/>
      <w:lvlJc w:val="left"/>
      <w:pPr>
        <w:ind w:left="432" w:hanging="432"/>
      </w:pPr>
      <w:rPr>
        <w:rFonts w:ascii="Symbol" w:hAnsi="Symbol" w:hint="default"/>
      </w:rPr>
    </w:lvl>
    <w:lvl w:ilvl="1">
      <w:start w:val="1"/>
      <w:numFmt w:val="bullet"/>
      <w:lvlText w:val="o"/>
      <w:lvlJc w:val="left"/>
      <w:pPr>
        <w:ind w:left="1512" w:hanging="432"/>
      </w:pPr>
      <w:rPr>
        <w:rFonts w:ascii="Courier New" w:hAnsi="Courier New" w:cs="Courier New" w:hint="default"/>
      </w:rPr>
    </w:lvl>
    <w:lvl w:ilvl="2">
      <w:start w:val="1"/>
      <w:numFmt w:val="bullet"/>
      <w:lvlText w:val=""/>
      <w:lvlJc w:val="left"/>
      <w:pPr>
        <w:ind w:left="2592" w:hanging="432"/>
      </w:pPr>
      <w:rPr>
        <w:rFonts w:ascii="Wingdings" w:hAnsi="Wingdings" w:hint="default"/>
      </w:rPr>
    </w:lvl>
    <w:lvl w:ilvl="3">
      <w:start w:val="1"/>
      <w:numFmt w:val="bullet"/>
      <w:lvlText w:val=""/>
      <w:lvlJc w:val="left"/>
      <w:pPr>
        <w:ind w:left="3672" w:hanging="432"/>
      </w:pPr>
      <w:rPr>
        <w:rFonts w:ascii="Symbol" w:hAnsi="Symbol" w:hint="default"/>
      </w:rPr>
    </w:lvl>
    <w:lvl w:ilvl="4">
      <w:start w:val="1"/>
      <w:numFmt w:val="bullet"/>
      <w:lvlText w:val="o"/>
      <w:lvlJc w:val="left"/>
      <w:pPr>
        <w:ind w:left="4752" w:hanging="432"/>
      </w:pPr>
      <w:rPr>
        <w:rFonts w:ascii="Courier New" w:hAnsi="Courier New" w:cs="Courier New" w:hint="default"/>
      </w:rPr>
    </w:lvl>
    <w:lvl w:ilvl="5">
      <w:start w:val="1"/>
      <w:numFmt w:val="bullet"/>
      <w:lvlText w:val=""/>
      <w:lvlJc w:val="left"/>
      <w:pPr>
        <w:ind w:left="5832" w:hanging="432"/>
      </w:pPr>
      <w:rPr>
        <w:rFonts w:ascii="Wingdings" w:hAnsi="Wingdings" w:hint="default"/>
      </w:rPr>
    </w:lvl>
    <w:lvl w:ilvl="6">
      <w:start w:val="1"/>
      <w:numFmt w:val="bullet"/>
      <w:lvlText w:val=""/>
      <w:lvlJc w:val="left"/>
      <w:pPr>
        <w:ind w:left="6912" w:hanging="432"/>
      </w:pPr>
      <w:rPr>
        <w:rFonts w:ascii="Symbol" w:hAnsi="Symbol" w:hint="default"/>
      </w:rPr>
    </w:lvl>
    <w:lvl w:ilvl="7">
      <w:start w:val="1"/>
      <w:numFmt w:val="bullet"/>
      <w:lvlText w:val="o"/>
      <w:lvlJc w:val="left"/>
      <w:pPr>
        <w:ind w:left="7992" w:hanging="432"/>
      </w:pPr>
      <w:rPr>
        <w:rFonts w:ascii="Courier New" w:hAnsi="Courier New" w:cs="Courier New" w:hint="default"/>
      </w:rPr>
    </w:lvl>
    <w:lvl w:ilvl="8">
      <w:start w:val="1"/>
      <w:numFmt w:val="bullet"/>
      <w:lvlText w:val=""/>
      <w:lvlJc w:val="left"/>
      <w:pPr>
        <w:ind w:left="9072" w:hanging="432"/>
      </w:pPr>
      <w:rPr>
        <w:rFonts w:ascii="Wingdings" w:hAnsi="Wingdings" w:hint="default"/>
      </w:rPr>
    </w:lvl>
  </w:abstractNum>
  <w:abstractNum w:abstractNumId="5" w15:restartNumberingAfterBreak="0">
    <w:nsid w:val="3D88486E"/>
    <w:multiLevelType w:val="hybridMultilevel"/>
    <w:tmpl w:val="ED88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640C8"/>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EC2024"/>
    <w:multiLevelType w:val="hybridMultilevel"/>
    <w:tmpl w:val="2C02AA34"/>
    <w:lvl w:ilvl="0" w:tplc="2ABA95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8A109D"/>
    <w:multiLevelType w:val="hybridMultilevel"/>
    <w:tmpl w:val="2F8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F6"/>
    <w:rsid w:val="000164E2"/>
    <w:rsid w:val="00027CAF"/>
    <w:rsid w:val="00103922"/>
    <w:rsid w:val="0011657D"/>
    <w:rsid w:val="00202696"/>
    <w:rsid w:val="002028C1"/>
    <w:rsid w:val="00235F8C"/>
    <w:rsid w:val="002874F5"/>
    <w:rsid w:val="002A08D4"/>
    <w:rsid w:val="003063ED"/>
    <w:rsid w:val="00340F48"/>
    <w:rsid w:val="00364FDF"/>
    <w:rsid w:val="003B579F"/>
    <w:rsid w:val="003F1D52"/>
    <w:rsid w:val="00443FC9"/>
    <w:rsid w:val="00496C57"/>
    <w:rsid w:val="0049789F"/>
    <w:rsid w:val="00504ED0"/>
    <w:rsid w:val="0056009F"/>
    <w:rsid w:val="00562544"/>
    <w:rsid w:val="005953D4"/>
    <w:rsid w:val="006165EB"/>
    <w:rsid w:val="00633D5F"/>
    <w:rsid w:val="00636AB1"/>
    <w:rsid w:val="00647F7B"/>
    <w:rsid w:val="00696B70"/>
    <w:rsid w:val="006B0ED7"/>
    <w:rsid w:val="006B5A03"/>
    <w:rsid w:val="006E53DE"/>
    <w:rsid w:val="007351F4"/>
    <w:rsid w:val="0074263C"/>
    <w:rsid w:val="007467F6"/>
    <w:rsid w:val="00876422"/>
    <w:rsid w:val="0087772C"/>
    <w:rsid w:val="008828A3"/>
    <w:rsid w:val="008B1CD2"/>
    <w:rsid w:val="00900A85"/>
    <w:rsid w:val="00907FC7"/>
    <w:rsid w:val="00920E2D"/>
    <w:rsid w:val="009636ED"/>
    <w:rsid w:val="009E10EF"/>
    <w:rsid w:val="00A02143"/>
    <w:rsid w:val="00A84410"/>
    <w:rsid w:val="00A96DC7"/>
    <w:rsid w:val="00AA016A"/>
    <w:rsid w:val="00AC5134"/>
    <w:rsid w:val="00B20ADB"/>
    <w:rsid w:val="00B55092"/>
    <w:rsid w:val="00BB0A69"/>
    <w:rsid w:val="00BC0508"/>
    <w:rsid w:val="00BF3725"/>
    <w:rsid w:val="00C05C0E"/>
    <w:rsid w:val="00C465BD"/>
    <w:rsid w:val="00C6711D"/>
    <w:rsid w:val="00C814D1"/>
    <w:rsid w:val="00CE784E"/>
    <w:rsid w:val="00D644DF"/>
    <w:rsid w:val="00DA071E"/>
    <w:rsid w:val="00DA4ACE"/>
    <w:rsid w:val="00DB1AFC"/>
    <w:rsid w:val="00DE2F34"/>
    <w:rsid w:val="00DE43BA"/>
    <w:rsid w:val="00E419B9"/>
    <w:rsid w:val="00E71061"/>
    <w:rsid w:val="00EA0AF8"/>
    <w:rsid w:val="00ED7E1A"/>
    <w:rsid w:val="00EF15AD"/>
    <w:rsid w:val="00F04A8F"/>
    <w:rsid w:val="00F10816"/>
    <w:rsid w:val="00F14736"/>
    <w:rsid w:val="00F1698D"/>
    <w:rsid w:val="00F82495"/>
    <w:rsid w:val="00FB3873"/>
    <w:rsid w:val="00FE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1940"/>
  <w15:docId w15:val="{E83DBAA0-64F4-41D6-80C1-2D154A9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5A03"/>
    <w:rPr>
      <w:rFonts w:ascii="Helvetica" w:hAnsi="Helvetica" w:cs="Times New Roman"/>
      <w:color w:val="FF0000"/>
      <w:sz w:val="9"/>
      <w:szCs w:val="9"/>
    </w:rPr>
  </w:style>
  <w:style w:type="character" w:styleId="CommentReference">
    <w:name w:val="annotation reference"/>
    <w:basedOn w:val="DefaultParagraphFont"/>
    <w:uiPriority w:val="99"/>
    <w:semiHidden/>
    <w:unhideWhenUsed/>
    <w:rsid w:val="00DA071E"/>
    <w:rPr>
      <w:sz w:val="16"/>
      <w:szCs w:val="16"/>
    </w:rPr>
  </w:style>
  <w:style w:type="paragraph" w:styleId="CommentText">
    <w:name w:val="annotation text"/>
    <w:basedOn w:val="Normal"/>
    <w:link w:val="CommentTextChar"/>
    <w:uiPriority w:val="99"/>
    <w:semiHidden/>
    <w:unhideWhenUsed/>
    <w:rsid w:val="00DA071E"/>
    <w:rPr>
      <w:sz w:val="20"/>
      <w:szCs w:val="20"/>
    </w:rPr>
  </w:style>
  <w:style w:type="character" w:customStyle="1" w:styleId="CommentTextChar">
    <w:name w:val="Comment Text Char"/>
    <w:basedOn w:val="DefaultParagraphFont"/>
    <w:link w:val="CommentText"/>
    <w:uiPriority w:val="99"/>
    <w:semiHidden/>
    <w:rsid w:val="00DA071E"/>
    <w:rPr>
      <w:sz w:val="20"/>
      <w:szCs w:val="20"/>
    </w:rPr>
  </w:style>
  <w:style w:type="paragraph" w:styleId="CommentSubject">
    <w:name w:val="annotation subject"/>
    <w:basedOn w:val="CommentText"/>
    <w:next w:val="CommentText"/>
    <w:link w:val="CommentSubjectChar"/>
    <w:uiPriority w:val="99"/>
    <w:semiHidden/>
    <w:unhideWhenUsed/>
    <w:rsid w:val="00DA071E"/>
    <w:rPr>
      <w:b/>
      <w:bCs/>
    </w:rPr>
  </w:style>
  <w:style w:type="character" w:customStyle="1" w:styleId="CommentSubjectChar">
    <w:name w:val="Comment Subject Char"/>
    <w:basedOn w:val="CommentTextChar"/>
    <w:link w:val="CommentSubject"/>
    <w:uiPriority w:val="99"/>
    <w:semiHidden/>
    <w:rsid w:val="00DA071E"/>
    <w:rPr>
      <w:b/>
      <w:bCs/>
      <w:sz w:val="20"/>
      <w:szCs w:val="20"/>
    </w:rPr>
  </w:style>
  <w:style w:type="paragraph" w:styleId="Revision">
    <w:name w:val="Revision"/>
    <w:hidden/>
    <w:uiPriority w:val="99"/>
    <w:semiHidden/>
    <w:rsid w:val="00DA071E"/>
  </w:style>
  <w:style w:type="paragraph" w:styleId="BalloonText">
    <w:name w:val="Balloon Text"/>
    <w:basedOn w:val="Normal"/>
    <w:link w:val="BalloonTextChar"/>
    <w:uiPriority w:val="99"/>
    <w:semiHidden/>
    <w:unhideWhenUsed/>
    <w:rsid w:val="00DA071E"/>
    <w:rPr>
      <w:rFonts w:ascii="Tahoma" w:hAnsi="Tahoma" w:cs="Tahoma"/>
      <w:sz w:val="16"/>
      <w:szCs w:val="16"/>
    </w:rPr>
  </w:style>
  <w:style w:type="character" w:customStyle="1" w:styleId="BalloonTextChar">
    <w:name w:val="Balloon Text Char"/>
    <w:basedOn w:val="DefaultParagraphFont"/>
    <w:link w:val="BalloonText"/>
    <w:uiPriority w:val="99"/>
    <w:semiHidden/>
    <w:rsid w:val="00DA071E"/>
    <w:rPr>
      <w:rFonts w:ascii="Tahoma" w:hAnsi="Tahoma" w:cs="Tahoma"/>
      <w:sz w:val="16"/>
      <w:szCs w:val="16"/>
    </w:rPr>
  </w:style>
  <w:style w:type="paragraph" w:styleId="ListParagraph">
    <w:name w:val="List Paragraph"/>
    <w:basedOn w:val="Normal"/>
    <w:uiPriority w:val="34"/>
    <w:qFormat/>
    <w:rsid w:val="003063E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3063ED"/>
    <w:rPr>
      <w:color w:val="0563C1" w:themeColor="hyperlink"/>
      <w:u w:val="single"/>
    </w:rPr>
  </w:style>
  <w:style w:type="paragraph" w:customStyle="1" w:styleId="HLBodyTextB">
    <w:name w:val="HL Body Text B"/>
    <w:basedOn w:val="Normal"/>
    <w:qFormat/>
    <w:rsid w:val="003063ED"/>
    <w:rPr>
      <w:rFonts w:ascii="Times New Roman" w:eastAsia="Times New Roman" w:hAnsi="Times New Roman" w:cs="Times New Roman"/>
      <w:b/>
      <w:sz w:val="16"/>
      <w:szCs w:val="20"/>
    </w:rPr>
  </w:style>
  <w:style w:type="paragraph" w:customStyle="1" w:styleId="Default">
    <w:name w:val="Default"/>
    <w:rsid w:val="003063ED"/>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C814D1"/>
    <w:rPr>
      <w:color w:val="605E5C"/>
      <w:shd w:val="clear" w:color="auto" w:fill="E1DFDD"/>
    </w:rPr>
  </w:style>
  <w:style w:type="character" w:customStyle="1" w:styleId="normaltextrun">
    <w:name w:val="normaltextrun"/>
    <w:basedOn w:val="DefaultParagraphFont"/>
    <w:rsid w:val="00DB1AFC"/>
  </w:style>
  <w:style w:type="character" w:customStyle="1" w:styleId="eop">
    <w:name w:val="eop"/>
    <w:basedOn w:val="DefaultParagraphFont"/>
    <w:rsid w:val="00DB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633">
      <w:bodyDiv w:val="1"/>
      <w:marLeft w:val="0"/>
      <w:marRight w:val="0"/>
      <w:marTop w:val="0"/>
      <w:marBottom w:val="0"/>
      <w:divBdr>
        <w:top w:val="none" w:sz="0" w:space="0" w:color="auto"/>
        <w:left w:val="none" w:sz="0" w:space="0" w:color="auto"/>
        <w:bottom w:val="none" w:sz="0" w:space="0" w:color="auto"/>
        <w:right w:val="none" w:sz="0" w:space="0" w:color="auto"/>
      </w:divBdr>
    </w:div>
    <w:div w:id="651982034">
      <w:bodyDiv w:val="1"/>
      <w:marLeft w:val="0"/>
      <w:marRight w:val="0"/>
      <w:marTop w:val="0"/>
      <w:marBottom w:val="0"/>
      <w:divBdr>
        <w:top w:val="none" w:sz="0" w:space="0" w:color="auto"/>
        <w:left w:val="none" w:sz="0" w:space="0" w:color="auto"/>
        <w:bottom w:val="none" w:sz="0" w:space="0" w:color="auto"/>
        <w:right w:val="none" w:sz="0" w:space="0" w:color="auto"/>
      </w:divBdr>
    </w:div>
    <w:div w:id="909269358">
      <w:bodyDiv w:val="1"/>
      <w:marLeft w:val="0"/>
      <w:marRight w:val="0"/>
      <w:marTop w:val="0"/>
      <w:marBottom w:val="0"/>
      <w:divBdr>
        <w:top w:val="none" w:sz="0" w:space="0" w:color="auto"/>
        <w:left w:val="none" w:sz="0" w:space="0" w:color="auto"/>
        <w:bottom w:val="none" w:sz="0" w:space="0" w:color="auto"/>
        <w:right w:val="none" w:sz="0" w:space="0" w:color="auto"/>
      </w:divBdr>
    </w:div>
    <w:div w:id="1397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bit.ly%2F43pwsQD&amp;data=05%7C01%7C%7Cf087a012c4464c31658508db6ea1984f%7Cc98df5345e36459aac3f8c2e449863bd%7C0%7C0%7C638225412542865915%7CUnknown%7CTWFpbGZsb3d8eyJWIjoiMC4wLjAwMDAiLCJQIjoiV2luMzIiLCJBTiI6Ik1haWwiLCJXVCI6Mn0%3D%7C3000%7C%7C%7C&amp;sdata=8rBdfISoA53vF4p2ub9PorHSJDFaZvTf1JL7CJUjgZE%3D&amp;reserved=0" TargetMode="External"/><Relationship Id="rId5" Type="http://schemas.openxmlformats.org/officeDocument/2006/relationships/hyperlink" Target="https://eur01.safelinks.protection.outlook.com/?url=https%3A%2F%2Fbit.ly%2F4320vxI&amp;data=05%7C01%7C%7Cf087a012c4464c31658508db6ea1984f%7Cc98df5345e36459aac3f8c2e449863bd%7C0%7C0%7C638225412542865915%7CUnknown%7CTWFpbGZsb3d8eyJWIjoiMC4wLjAwMDAiLCJQIjoiV2luMzIiLCJBTiI6Ik1haWwiLCJXVCI6Mn0%3D%7C3000%7C%7C%7C&amp;sdata=TLiFTJby3PiwbIniDuQeRJvcwfdxiAWd%2FaTUjeuvP6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3421</Words>
  <Characters>19502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Squillaci</dc:creator>
  <cp:lastModifiedBy>Tami Novy</cp:lastModifiedBy>
  <cp:revision>2</cp:revision>
  <cp:lastPrinted>2022-07-05T18:28:00Z</cp:lastPrinted>
  <dcterms:created xsi:type="dcterms:W3CDTF">2023-07-13T17:44:00Z</dcterms:created>
  <dcterms:modified xsi:type="dcterms:W3CDTF">2023-07-13T17:44:00Z</dcterms:modified>
</cp:coreProperties>
</file>