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7059" w14:textId="77777777" w:rsidR="00B20ADB" w:rsidRDefault="00B20ADB" w:rsidP="00202696">
      <w:pPr>
        <w:autoSpaceDE w:val="0"/>
        <w:autoSpaceDN w:val="0"/>
        <w:adjustRightInd w:val="0"/>
        <w:spacing w:after="240"/>
        <w:rPr>
          <w:sz w:val="22"/>
          <w:szCs w:val="22"/>
        </w:rPr>
      </w:pPr>
    </w:p>
    <w:p w14:paraId="3734D620" w14:textId="1FD1B559" w:rsidR="007467F6" w:rsidRDefault="00EA0AF8" w:rsidP="00202696">
      <w:pPr>
        <w:autoSpaceDE w:val="0"/>
        <w:autoSpaceDN w:val="0"/>
        <w:adjustRightInd w:val="0"/>
        <w:spacing w:after="240"/>
        <w:rPr>
          <w:color w:val="FF0000"/>
          <w:sz w:val="22"/>
          <w:szCs w:val="22"/>
        </w:rPr>
      </w:pPr>
      <w:r w:rsidRPr="00E419B9">
        <w:rPr>
          <w:color w:val="FF0000"/>
          <w:sz w:val="22"/>
          <w:szCs w:val="22"/>
        </w:rPr>
        <w:t>[</w:t>
      </w:r>
      <w:r w:rsidR="00B20ADB" w:rsidRPr="00E419B9">
        <w:rPr>
          <w:color w:val="FF0000"/>
          <w:sz w:val="22"/>
          <w:szCs w:val="22"/>
        </w:rPr>
        <w:t>Date</w:t>
      </w:r>
      <w:r w:rsidRPr="00E419B9">
        <w:rPr>
          <w:color w:val="FF0000"/>
          <w:sz w:val="22"/>
          <w:szCs w:val="22"/>
        </w:rPr>
        <w:t>]</w:t>
      </w:r>
    </w:p>
    <w:p w14:paraId="4B26E209" w14:textId="48CFECB8" w:rsidR="002028C1" w:rsidRPr="002028C1" w:rsidRDefault="002028C1" w:rsidP="00202696">
      <w:pPr>
        <w:autoSpaceDE w:val="0"/>
        <w:autoSpaceDN w:val="0"/>
        <w:adjustRightInd w:val="0"/>
        <w:spacing w:after="240"/>
        <w:rPr>
          <w:sz w:val="22"/>
          <w:szCs w:val="22"/>
        </w:rPr>
      </w:pPr>
      <w:r w:rsidRPr="002028C1">
        <w:rPr>
          <w:sz w:val="22"/>
          <w:szCs w:val="22"/>
        </w:rPr>
        <w:t>Attn: Appeals Department</w:t>
      </w:r>
    </w:p>
    <w:p w14:paraId="2ECFA0AC" w14:textId="71EF998D" w:rsidR="00B20ADB" w:rsidRPr="00E419B9" w:rsidRDefault="00EA0AF8" w:rsidP="00B20ADB">
      <w:pPr>
        <w:rPr>
          <w:color w:val="FF0000"/>
          <w:sz w:val="22"/>
          <w:szCs w:val="22"/>
        </w:rPr>
      </w:pPr>
      <w:r w:rsidRPr="00E419B9">
        <w:rPr>
          <w:color w:val="FF0000"/>
          <w:sz w:val="22"/>
          <w:szCs w:val="22"/>
        </w:rPr>
        <w:t>[</w:t>
      </w:r>
      <w:r w:rsidR="00B20ADB" w:rsidRPr="00E419B9">
        <w:rPr>
          <w:color w:val="FF0000"/>
          <w:sz w:val="22"/>
          <w:szCs w:val="22"/>
        </w:rPr>
        <w:t>Payer Name</w:t>
      </w:r>
      <w:r w:rsidRPr="00E419B9">
        <w:rPr>
          <w:color w:val="FF0000"/>
          <w:sz w:val="22"/>
          <w:szCs w:val="22"/>
        </w:rPr>
        <w:t>]</w:t>
      </w:r>
    </w:p>
    <w:p w14:paraId="00E05DAF" w14:textId="13820CCD" w:rsidR="00B20ADB" w:rsidRDefault="00EA0AF8" w:rsidP="00B20ADB">
      <w:pPr>
        <w:rPr>
          <w:color w:val="FF0000"/>
          <w:sz w:val="22"/>
          <w:szCs w:val="22"/>
        </w:rPr>
      </w:pPr>
      <w:r w:rsidRPr="00E419B9">
        <w:rPr>
          <w:color w:val="FF0000"/>
          <w:sz w:val="22"/>
          <w:szCs w:val="22"/>
        </w:rPr>
        <w:t>[</w:t>
      </w:r>
      <w:r w:rsidR="00B20ADB" w:rsidRPr="00E419B9">
        <w:rPr>
          <w:color w:val="FF0000"/>
          <w:sz w:val="22"/>
          <w:szCs w:val="22"/>
        </w:rPr>
        <w:t xml:space="preserve">Payer </w:t>
      </w:r>
      <w:r w:rsidR="00CE784E">
        <w:rPr>
          <w:color w:val="FF0000"/>
          <w:sz w:val="22"/>
          <w:szCs w:val="22"/>
        </w:rPr>
        <w:t xml:space="preserve">Street </w:t>
      </w:r>
      <w:r w:rsidR="00B20ADB" w:rsidRPr="00E419B9">
        <w:rPr>
          <w:color w:val="FF0000"/>
          <w:sz w:val="22"/>
          <w:szCs w:val="22"/>
        </w:rPr>
        <w:t>Address</w:t>
      </w:r>
      <w:r w:rsidRPr="00E419B9">
        <w:rPr>
          <w:color w:val="FF0000"/>
          <w:sz w:val="22"/>
          <w:szCs w:val="22"/>
        </w:rPr>
        <w:t>]</w:t>
      </w:r>
    </w:p>
    <w:p w14:paraId="38E10D92" w14:textId="530EE92F" w:rsidR="00CE784E" w:rsidRPr="00E419B9" w:rsidRDefault="00CE784E" w:rsidP="00CE784E">
      <w:pPr>
        <w:rPr>
          <w:color w:val="FF0000"/>
          <w:sz w:val="22"/>
          <w:szCs w:val="22"/>
        </w:rPr>
      </w:pPr>
      <w:r w:rsidRPr="00E419B9">
        <w:rPr>
          <w:color w:val="FF0000"/>
          <w:sz w:val="22"/>
          <w:szCs w:val="22"/>
        </w:rPr>
        <w:t>[</w:t>
      </w:r>
      <w:r>
        <w:rPr>
          <w:color w:val="FF0000"/>
          <w:sz w:val="22"/>
          <w:szCs w:val="22"/>
        </w:rPr>
        <w:t xml:space="preserve">Payer </w:t>
      </w:r>
      <w:r w:rsidRPr="00E419B9">
        <w:rPr>
          <w:color w:val="FF0000"/>
          <w:sz w:val="22"/>
          <w:szCs w:val="22"/>
        </w:rPr>
        <w:t>City, State Zip]</w:t>
      </w:r>
    </w:p>
    <w:p w14:paraId="1E718722" w14:textId="77777777" w:rsidR="00CE784E" w:rsidRPr="00E419B9" w:rsidRDefault="00CE784E" w:rsidP="00B20ADB">
      <w:pPr>
        <w:rPr>
          <w:color w:val="FF0000"/>
          <w:sz w:val="22"/>
          <w:szCs w:val="22"/>
        </w:rPr>
      </w:pPr>
    </w:p>
    <w:p w14:paraId="08F0713A" w14:textId="77777777" w:rsidR="00B20ADB" w:rsidRPr="00496C57" w:rsidRDefault="00B20ADB" w:rsidP="00B20ADB">
      <w:pPr>
        <w:rPr>
          <w:sz w:val="22"/>
          <w:szCs w:val="22"/>
        </w:rPr>
      </w:pPr>
    </w:p>
    <w:p w14:paraId="791F750F" w14:textId="47D63D46" w:rsidR="00B20ADB" w:rsidRDefault="007467F6" w:rsidP="007467F6">
      <w:pPr>
        <w:autoSpaceDE w:val="0"/>
        <w:autoSpaceDN w:val="0"/>
        <w:adjustRightInd w:val="0"/>
        <w:rPr>
          <w:color w:val="FF0000"/>
          <w:sz w:val="22"/>
          <w:szCs w:val="22"/>
        </w:rPr>
      </w:pPr>
      <w:r w:rsidRPr="00496C57">
        <w:rPr>
          <w:sz w:val="22"/>
          <w:szCs w:val="22"/>
        </w:rPr>
        <w:t xml:space="preserve">Re: </w:t>
      </w:r>
      <w:r w:rsidR="00B20ADB" w:rsidRPr="00496C57">
        <w:rPr>
          <w:sz w:val="22"/>
          <w:szCs w:val="22"/>
        </w:rPr>
        <w:tab/>
      </w:r>
      <w:r w:rsidR="00EA0AF8" w:rsidRPr="00E419B9">
        <w:rPr>
          <w:color w:val="FF0000"/>
          <w:sz w:val="22"/>
          <w:szCs w:val="22"/>
        </w:rPr>
        <w:t>[</w:t>
      </w:r>
      <w:r w:rsidR="00B20ADB" w:rsidRPr="00E419B9">
        <w:rPr>
          <w:color w:val="FF0000"/>
          <w:sz w:val="22"/>
          <w:szCs w:val="22"/>
        </w:rPr>
        <w:t xml:space="preserve">Patient </w:t>
      </w:r>
      <w:r w:rsidR="00CE784E">
        <w:rPr>
          <w:color w:val="FF0000"/>
          <w:sz w:val="22"/>
          <w:szCs w:val="22"/>
        </w:rPr>
        <w:t xml:space="preserve">Full </w:t>
      </w:r>
      <w:r w:rsidR="00B20ADB" w:rsidRPr="00E419B9">
        <w:rPr>
          <w:color w:val="FF0000"/>
          <w:sz w:val="22"/>
          <w:szCs w:val="22"/>
        </w:rPr>
        <w:t>Name</w:t>
      </w:r>
      <w:r w:rsidR="00EA0AF8" w:rsidRPr="00E419B9">
        <w:rPr>
          <w:color w:val="FF0000"/>
          <w:sz w:val="22"/>
          <w:szCs w:val="22"/>
        </w:rPr>
        <w:t>]</w:t>
      </w:r>
    </w:p>
    <w:p w14:paraId="00F99255" w14:textId="291AD211" w:rsidR="00CE784E" w:rsidRDefault="00CE784E" w:rsidP="00CE784E">
      <w:pPr>
        <w:autoSpaceDE w:val="0"/>
        <w:autoSpaceDN w:val="0"/>
        <w:adjustRightInd w:val="0"/>
        <w:ind w:firstLine="720"/>
        <w:rPr>
          <w:color w:val="FF0000"/>
          <w:sz w:val="22"/>
          <w:szCs w:val="22"/>
        </w:rPr>
      </w:pPr>
      <w:r>
        <w:rPr>
          <w:color w:val="FF0000"/>
          <w:sz w:val="22"/>
          <w:szCs w:val="22"/>
        </w:rPr>
        <w:t>[Patient Date of Birth]</w:t>
      </w:r>
    </w:p>
    <w:p w14:paraId="04F9AEBF" w14:textId="33E3A8B4" w:rsidR="00CE784E" w:rsidRPr="00E419B9" w:rsidRDefault="00CE784E" w:rsidP="00CE784E">
      <w:pPr>
        <w:autoSpaceDE w:val="0"/>
        <w:autoSpaceDN w:val="0"/>
        <w:adjustRightInd w:val="0"/>
        <w:ind w:firstLine="720"/>
        <w:rPr>
          <w:color w:val="FF0000"/>
          <w:sz w:val="22"/>
          <w:szCs w:val="22"/>
        </w:rPr>
      </w:pPr>
      <w:r>
        <w:rPr>
          <w:color w:val="FF0000"/>
          <w:sz w:val="22"/>
          <w:szCs w:val="22"/>
        </w:rPr>
        <w:t>[Patient Member ID]</w:t>
      </w:r>
    </w:p>
    <w:p w14:paraId="49D6A7DA" w14:textId="0389211E" w:rsidR="00B20ADB" w:rsidRPr="00E419B9" w:rsidRDefault="00B20ADB" w:rsidP="007467F6">
      <w:pPr>
        <w:autoSpaceDE w:val="0"/>
        <w:autoSpaceDN w:val="0"/>
        <w:adjustRightInd w:val="0"/>
        <w:rPr>
          <w:color w:val="FF0000"/>
          <w:sz w:val="22"/>
          <w:szCs w:val="22"/>
        </w:rPr>
      </w:pPr>
      <w:r w:rsidRPr="00E419B9">
        <w:rPr>
          <w:color w:val="FF0000"/>
          <w:sz w:val="22"/>
          <w:szCs w:val="22"/>
        </w:rPr>
        <w:tab/>
      </w:r>
      <w:r w:rsidR="00EA0AF8" w:rsidRPr="00E419B9">
        <w:rPr>
          <w:color w:val="FF0000"/>
          <w:sz w:val="22"/>
          <w:szCs w:val="22"/>
        </w:rPr>
        <w:t>[</w:t>
      </w:r>
      <w:r w:rsidRPr="00E419B9">
        <w:rPr>
          <w:color w:val="FF0000"/>
          <w:sz w:val="22"/>
          <w:szCs w:val="22"/>
        </w:rPr>
        <w:t>Patient Policy</w:t>
      </w:r>
      <w:r w:rsidR="00CE784E">
        <w:rPr>
          <w:color w:val="FF0000"/>
          <w:sz w:val="22"/>
          <w:szCs w:val="22"/>
        </w:rPr>
        <w:t>/Group</w:t>
      </w:r>
      <w:r w:rsidRPr="00E419B9">
        <w:rPr>
          <w:color w:val="FF0000"/>
          <w:sz w:val="22"/>
          <w:szCs w:val="22"/>
        </w:rPr>
        <w:t xml:space="preserve"> Number</w:t>
      </w:r>
      <w:r w:rsidR="00EA0AF8" w:rsidRPr="00E419B9">
        <w:rPr>
          <w:color w:val="FF0000"/>
          <w:sz w:val="22"/>
          <w:szCs w:val="22"/>
        </w:rPr>
        <w:t>]</w:t>
      </w:r>
    </w:p>
    <w:p w14:paraId="1BC3E816" w14:textId="59FAEA61" w:rsidR="00B20ADB" w:rsidRDefault="00B20ADB" w:rsidP="007467F6">
      <w:pPr>
        <w:autoSpaceDE w:val="0"/>
        <w:autoSpaceDN w:val="0"/>
        <w:adjustRightInd w:val="0"/>
        <w:rPr>
          <w:color w:val="FF0000"/>
          <w:sz w:val="22"/>
          <w:szCs w:val="22"/>
        </w:rPr>
      </w:pPr>
      <w:r w:rsidRPr="00E419B9">
        <w:rPr>
          <w:color w:val="FF0000"/>
          <w:sz w:val="22"/>
          <w:szCs w:val="22"/>
        </w:rPr>
        <w:tab/>
      </w:r>
      <w:r w:rsidR="00EA0AF8" w:rsidRPr="00E419B9">
        <w:rPr>
          <w:color w:val="FF0000"/>
          <w:sz w:val="22"/>
          <w:szCs w:val="22"/>
        </w:rPr>
        <w:t>[</w:t>
      </w:r>
      <w:r w:rsidR="00CE784E">
        <w:rPr>
          <w:color w:val="FF0000"/>
          <w:sz w:val="22"/>
          <w:szCs w:val="22"/>
        </w:rPr>
        <w:t xml:space="preserve">Prior Authorization or </w:t>
      </w:r>
      <w:r w:rsidRPr="00E419B9">
        <w:rPr>
          <w:color w:val="FF0000"/>
          <w:sz w:val="22"/>
          <w:szCs w:val="22"/>
        </w:rPr>
        <w:t>Claim Number</w:t>
      </w:r>
      <w:r w:rsidR="00EA0AF8" w:rsidRPr="00E419B9">
        <w:rPr>
          <w:color w:val="FF0000"/>
          <w:sz w:val="22"/>
          <w:szCs w:val="22"/>
        </w:rPr>
        <w:t>]</w:t>
      </w:r>
    </w:p>
    <w:p w14:paraId="09FE829A" w14:textId="4873CCFA" w:rsidR="00CE784E" w:rsidRPr="00E419B9" w:rsidRDefault="00CE784E" w:rsidP="00CE784E">
      <w:pPr>
        <w:autoSpaceDE w:val="0"/>
        <w:autoSpaceDN w:val="0"/>
        <w:adjustRightInd w:val="0"/>
        <w:ind w:firstLine="720"/>
        <w:rPr>
          <w:color w:val="FF0000"/>
          <w:sz w:val="22"/>
          <w:szCs w:val="22"/>
        </w:rPr>
      </w:pPr>
      <w:r>
        <w:rPr>
          <w:color w:val="FF0000"/>
          <w:sz w:val="22"/>
          <w:szCs w:val="22"/>
        </w:rPr>
        <w:t>[Patient Diagnosis/ICD-10]</w:t>
      </w:r>
    </w:p>
    <w:p w14:paraId="483CFB87" w14:textId="3AA7FCC7" w:rsidR="00B20ADB" w:rsidRPr="00E419B9" w:rsidRDefault="00B20ADB" w:rsidP="007467F6">
      <w:pPr>
        <w:autoSpaceDE w:val="0"/>
        <w:autoSpaceDN w:val="0"/>
        <w:adjustRightInd w:val="0"/>
        <w:rPr>
          <w:color w:val="FF0000"/>
          <w:sz w:val="22"/>
          <w:szCs w:val="22"/>
        </w:rPr>
      </w:pPr>
      <w:r w:rsidRPr="00E419B9">
        <w:rPr>
          <w:color w:val="FF0000"/>
          <w:sz w:val="22"/>
          <w:szCs w:val="22"/>
        </w:rPr>
        <w:tab/>
      </w:r>
      <w:r w:rsidR="00EA0AF8" w:rsidRPr="00E419B9">
        <w:rPr>
          <w:color w:val="FF0000"/>
          <w:sz w:val="22"/>
          <w:szCs w:val="22"/>
        </w:rPr>
        <w:t>[</w:t>
      </w:r>
      <w:r w:rsidRPr="00E419B9">
        <w:rPr>
          <w:color w:val="FF0000"/>
          <w:sz w:val="22"/>
          <w:szCs w:val="22"/>
        </w:rPr>
        <w:t>Date(s) of Service</w:t>
      </w:r>
      <w:r w:rsidR="00EA0AF8" w:rsidRPr="00E419B9">
        <w:rPr>
          <w:color w:val="FF0000"/>
          <w:sz w:val="22"/>
          <w:szCs w:val="22"/>
        </w:rPr>
        <w:t>]</w:t>
      </w:r>
    </w:p>
    <w:p w14:paraId="103E0EE0" w14:textId="1EB53765" w:rsidR="007467F6" w:rsidRPr="00496C57" w:rsidRDefault="00CE784E" w:rsidP="007467F6">
      <w:pPr>
        <w:autoSpaceDE w:val="0"/>
        <w:autoSpaceDN w:val="0"/>
        <w:adjustRightInd w:val="0"/>
        <w:rPr>
          <w:sz w:val="22"/>
          <w:szCs w:val="22"/>
        </w:rPr>
      </w:pPr>
      <w:r>
        <w:rPr>
          <w:sz w:val="22"/>
          <w:szCs w:val="22"/>
        </w:rPr>
        <w:tab/>
      </w:r>
      <w:r>
        <w:rPr>
          <w:sz w:val="22"/>
          <w:szCs w:val="22"/>
        </w:rPr>
        <w:tab/>
      </w:r>
    </w:p>
    <w:p w14:paraId="43140B20" w14:textId="4C89F3C8" w:rsidR="007467F6" w:rsidRPr="00496C57" w:rsidRDefault="00E419B9" w:rsidP="007467F6">
      <w:pPr>
        <w:autoSpaceDE w:val="0"/>
        <w:autoSpaceDN w:val="0"/>
        <w:adjustRightInd w:val="0"/>
        <w:rPr>
          <w:sz w:val="22"/>
          <w:szCs w:val="22"/>
        </w:rPr>
      </w:pPr>
      <w:r>
        <w:rPr>
          <w:sz w:val="22"/>
          <w:szCs w:val="22"/>
        </w:rPr>
        <w:t xml:space="preserve">To Whom </w:t>
      </w:r>
      <w:r w:rsidR="00ED7E1A">
        <w:rPr>
          <w:sz w:val="22"/>
          <w:szCs w:val="22"/>
        </w:rPr>
        <w:t>I</w:t>
      </w:r>
      <w:r>
        <w:rPr>
          <w:sz w:val="22"/>
          <w:szCs w:val="22"/>
        </w:rPr>
        <w:t>t May Concern</w:t>
      </w:r>
      <w:r w:rsidR="007467F6" w:rsidRPr="00496C57">
        <w:rPr>
          <w:sz w:val="22"/>
          <w:szCs w:val="22"/>
        </w:rPr>
        <w:t>:</w:t>
      </w:r>
    </w:p>
    <w:p w14:paraId="37CD583B" w14:textId="77777777" w:rsidR="007467F6" w:rsidRPr="00496C57" w:rsidRDefault="007467F6" w:rsidP="007467F6">
      <w:pPr>
        <w:autoSpaceDE w:val="0"/>
        <w:autoSpaceDN w:val="0"/>
        <w:adjustRightInd w:val="0"/>
        <w:rPr>
          <w:sz w:val="22"/>
          <w:szCs w:val="22"/>
        </w:rPr>
      </w:pPr>
    </w:p>
    <w:p w14:paraId="398B2A4B" w14:textId="428398C8" w:rsidR="007467F6" w:rsidRPr="00496C57" w:rsidRDefault="007467F6" w:rsidP="007467F6">
      <w:pPr>
        <w:autoSpaceDE w:val="0"/>
        <w:autoSpaceDN w:val="0"/>
        <w:adjustRightInd w:val="0"/>
        <w:rPr>
          <w:sz w:val="22"/>
          <w:szCs w:val="22"/>
        </w:rPr>
      </w:pPr>
      <w:r w:rsidRPr="00496C57">
        <w:rPr>
          <w:sz w:val="22"/>
          <w:szCs w:val="22"/>
        </w:rPr>
        <w:t xml:space="preserve">This letter serves as a request for reconsideration of payment of a denied </w:t>
      </w:r>
      <w:r w:rsidR="00CE784E" w:rsidRPr="00CE784E">
        <w:rPr>
          <w:color w:val="FF0000"/>
          <w:sz w:val="22"/>
          <w:szCs w:val="22"/>
        </w:rPr>
        <w:t>[Prior Authorization/C</w:t>
      </w:r>
      <w:r w:rsidRPr="00CE784E">
        <w:rPr>
          <w:color w:val="FF0000"/>
          <w:sz w:val="22"/>
          <w:szCs w:val="22"/>
        </w:rPr>
        <w:t>laim</w:t>
      </w:r>
      <w:r w:rsidR="00CE784E" w:rsidRPr="00CE784E">
        <w:rPr>
          <w:color w:val="FF0000"/>
          <w:sz w:val="22"/>
          <w:szCs w:val="22"/>
        </w:rPr>
        <w:t>]</w:t>
      </w:r>
      <w:r w:rsidRPr="00CE784E">
        <w:rPr>
          <w:color w:val="FF0000"/>
          <w:sz w:val="22"/>
          <w:szCs w:val="22"/>
        </w:rPr>
        <w:t xml:space="preserve"> </w:t>
      </w:r>
      <w:r w:rsidRPr="00496C57">
        <w:rPr>
          <w:sz w:val="22"/>
          <w:szCs w:val="22"/>
        </w:rPr>
        <w:t xml:space="preserve">for </w:t>
      </w:r>
      <w:r w:rsidR="00647F7B">
        <w:rPr>
          <w:sz w:val="22"/>
          <w:szCs w:val="22"/>
        </w:rPr>
        <w:t>SMOFlipid® (Lipid Injectable Emulsion, USP 20%)</w:t>
      </w:r>
      <w:r w:rsidRPr="00496C57">
        <w:rPr>
          <w:color w:val="211D1E"/>
          <w:sz w:val="22"/>
          <w:szCs w:val="22"/>
        </w:rPr>
        <w:t xml:space="preserve">, </w:t>
      </w:r>
      <w:r w:rsidR="00E419B9">
        <w:rPr>
          <w:color w:val="211D1E"/>
          <w:sz w:val="22"/>
          <w:szCs w:val="22"/>
        </w:rPr>
        <w:t>for</w:t>
      </w:r>
      <w:r w:rsidR="00B20ADB" w:rsidRPr="00496C57">
        <w:rPr>
          <w:sz w:val="22"/>
          <w:szCs w:val="22"/>
        </w:rPr>
        <w:t xml:space="preserve"> </w:t>
      </w:r>
      <w:r w:rsidR="00EA0AF8" w:rsidRPr="00E419B9">
        <w:rPr>
          <w:color w:val="FF0000"/>
          <w:sz w:val="22"/>
          <w:szCs w:val="22"/>
        </w:rPr>
        <w:t>[</w:t>
      </w:r>
      <w:r w:rsidR="00B20ADB" w:rsidRPr="00E419B9">
        <w:rPr>
          <w:color w:val="FF0000"/>
          <w:sz w:val="22"/>
          <w:szCs w:val="22"/>
        </w:rPr>
        <w:t>Patient Name</w:t>
      </w:r>
      <w:r w:rsidR="008828A3" w:rsidRPr="00E419B9">
        <w:rPr>
          <w:color w:val="FF0000"/>
          <w:sz w:val="22"/>
          <w:szCs w:val="22"/>
        </w:rPr>
        <w:t>]</w:t>
      </w:r>
      <w:r w:rsidRPr="00E419B9">
        <w:rPr>
          <w:color w:val="FF0000"/>
          <w:sz w:val="22"/>
          <w:szCs w:val="22"/>
        </w:rPr>
        <w:t xml:space="preserve"> </w:t>
      </w:r>
      <w:r w:rsidRPr="00496C57">
        <w:rPr>
          <w:sz w:val="22"/>
          <w:szCs w:val="22"/>
        </w:rPr>
        <w:t xml:space="preserve">on </w:t>
      </w:r>
      <w:r w:rsidR="008828A3" w:rsidRPr="00E419B9">
        <w:rPr>
          <w:color w:val="FF0000"/>
          <w:sz w:val="22"/>
          <w:szCs w:val="22"/>
        </w:rPr>
        <w:t>[</w:t>
      </w:r>
      <w:r w:rsidR="00B20ADB" w:rsidRPr="00E419B9">
        <w:rPr>
          <w:color w:val="FF0000"/>
          <w:sz w:val="22"/>
          <w:szCs w:val="22"/>
        </w:rPr>
        <w:t>Date(s) of Service</w:t>
      </w:r>
      <w:r w:rsidR="00EA0AF8" w:rsidRPr="00E419B9">
        <w:rPr>
          <w:color w:val="FF0000"/>
          <w:sz w:val="22"/>
          <w:szCs w:val="22"/>
        </w:rPr>
        <w:t>]</w:t>
      </w:r>
      <w:r w:rsidRPr="00496C57">
        <w:rPr>
          <w:sz w:val="22"/>
          <w:szCs w:val="22"/>
        </w:rPr>
        <w:t>.</w:t>
      </w:r>
    </w:p>
    <w:p w14:paraId="21A348EA" w14:textId="77777777" w:rsidR="007467F6" w:rsidRPr="00496C57" w:rsidRDefault="007467F6" w:rsidP="007467F6">
      <w:pPr>
        <w:autoSpaceDE w:val="0"/>
        <w:autoSpaceDN w:val="0"/>
        <w:adjustRightInd w:val="0"/>
        <w:rPr>
          <w:sz w:val="22"/>
          <w:szCs w:val="22"/>
        </w:rPr>
      </w:pPr>
    </w:p>
    <w:p w14:paraId="30CF8A4B" w14:textId="77B98681" w:rsidR="007467F6" w:rsidRPr="00496C57" w:rsidRDefault="007467F6" w:rsidP="007467F6">
      <w:pPr>
        <w:rPr>
          <w:sz w:val="22"/>
          <w:szCs w:val="22"/>
        </w:rPr>
      </w:pPr>
      <w:r w:rsidRPr="00496C57">
        <w:rPr>
          <w:sz w:val="22"/>
          <w:szCs w:val="22"/>
        </w:rPr>
        <w:t>This patient has been unde</w:t>
      </w:r>
      <w:r w:rsidR="00BF3725" w:rsidRPr="00496C57">
        <w:rPr>
          <w:sz w:val="22"/>
          <w:szCs w:val="22"/>
        </w:rPr>
        <w:t xml:space="preserve">r my care for the treatment of </w:t>
      </w:r>
      <w:r w:rsidR="006165EB" w:rsidRPr="00E419B9">
        <w:rPr>
          <w:color w:val="FF0000"/>
          <w:sz w:val="22"/>
          <w:szCs w:val="22"/>
        </w:rPr>
        <w:t>[</w:t>
      </w:r>
      <w:r w:rsidR="00B20ADB" w:rsidRPr="00E419B9">
        <w:rPr>
          <w:color w:val="FF0000"/>
          <w:sz w:val="22"/>
          <w:szCs w:val="22"/>
        </w:rPr>
        <w:t>patient diagnosis</w:t>
      </w:r>
      <w:r w:rsidR="006165EB" w:rsidRPr="00E419B9">
        <w:rPr>
          <w:color w:val="FF0000"/>
          <w:sz w:val="22"/>
          <w:szCs w:val="22"/>
        </w:rPr>
        <w:t>]</w:t>
      </w:r>
      <w:r w:rsidRPr="00496C57">
        <w:rPr>
          <w:rFonts w:eastAsia="Times New Roman"/>
          <w:sz w:val="22"/>
          <w:szCs w:val="22"/>
        </w:rPr>
        <w:t xml:space="preserve">, which increases the patient’s risk </w:t>
      </w:r>
      <w:r w:rsidRPr="00647F7B">
        <w:rPr>
          <w:rFonts w:eastAsia="Times New Roman"/>
          <w:sz w:val="22"/>
          <w:szCs w:val="22"/>
        </w:rPr>
        <w:t>of</w:t>
      </w:r>
      <w:r w:rsidRPr="00647F7B">
        <w:rPr>
          <w:rFonts w:eastAsia="Times New Roman"/>
          <w:color w:val="FF0000"/>
          <w:sz w:val="22"/>
          <w:szCs w:val="22"/>
        </w:rPr>
        <w:t xml:space="preserve"> </w:t>
      </w:r>
      <w:r w:rsidR="00647F7B" w:rsidRPr="00647F7B">
        <w:rPr>
          <w:rFonts w:eastAsia="Times New Roman"/>
          <w:color w:val="FF0000"/>
          <w:sz w:val="22"/>
          <w:szCs w:val="22"/>
        </w:rPr>
        <w:t>[insert condition</w:t>
      </w:r>
      <w:r w:rsidR="005B6421">
        <w:rPr>
          <w:rFonts w:eastAsia="Times New Roman"/>
          <w:color w:val="FF0000"/>
          <w:sz w:val="22"/>
          <w:szCs w:val="22"/>
        </w:rPr>
        <w:t>,</w:t>
      </w:r>
      <w:r w:rsidR="00647F7B" w:rsidRPr="00647F7B">
        <w:rPr>
          <w:rFonts w:eastAsia="Times New Roman"/>
          <w:color w:val="FF0000"/>
          <w:sz w:val="22"/>
          <w:szCs w:val="22"/>
        </w:rPr>
        <w:t xml:space="preserve"> i</w:t>
      </w:r>
      <w:r w:rsidR="005B6421">
        <w:rPr>
          <w:rFonts w:eastAsia="Times New Roman"/>
          <w:color w:val="FF0000"/>
          <w:sz w:val="22"/>
          <w:szCs w:val="22"/>
        </w:rPr>
        <w:t>.</w:t>
      </w:r>
      <w:r w:rsidR="00647F7B" w:rsidRPr="00647F7B">
        <w:rPr>
          <w:rFonts w:eastAsia="Times New Roman"/>
          <w:color w:val="FF0000"/>
          <w:sz w:val="22"/>
          <w:szCs w:val="22"/>
        </w:rPr>
        <w:t>e</w:t>
      </w:r>
      <w:r w:rsidR="005B6421">
        <w:rPr>
          <w:rFonts w:eastAsia="Times New Roman"/>
          <w:color w:val="FF0000"/>
          <w:sz w:val="22"/>
          <w:szCs w:val="22"/>
        </w:rPr>
        <w:t>.</w:t>
      </w:r>
      <w:r w:rsidR="00FE5B1D">
        <w:rPr>
          <w:rFonts w:eastAsia="Times New Roman"/>
          <w:color w:val="FF0000"/>
          <w:sz w:val="22"/>
          <w:szCs w:val="22"/>
        </w:rPr>
        <w:t>,</w:t>
      </w:r>
      <w:r w:rsidR="00647F7B" w:rsidRPr="00647F7B">
        <w:rPr>
          <w:rFonts w:eastAsia="Times New Roman"/>
          <w:color w:val="FF0000"/>
          <w:sz w:val="22"/>
          <w:szCs w:val="22"/>
        </w:rPr>
        <w:t xml:space="preserve"> malnutrition].</w:t>
      </w:r>
      <w:r w:rsidR="00562544" w:rsidRPr="00647F7B">
        <w:rPr>
          <w:rFonts w:eastAsia="Times New Roman"/>
          <w:color w:val="FF0000"/>
          <w:sz w:val="22"/>
          <w:szCs w:val="22"/>
        </w:rPr>
        <w:t xml:space="preserve"> </w:t>
      </w:r>
      <w:r w:rsidRPr="00496C57">
        <w:rPr>
          <w:sz w:val="22"/>
          <w:szCs w:val="22"/>
        </w:rPr>
        <w:t xml:space="preserve">You have indicated that </w:t>
      </w:r>
      <w:r w:rsidR="00647F7B">
        <w:rPr>
          <w:sz w:val="22"/>
          <w:szCs w:val="22"/>
        </w:rPr>
        <w:t>SMOFlipid</w:t>
      </w:r>
      <w:r w:rsidR="00103922" w:rsidRPr="00103922">
        <w:rPr>
          <w:rFonts w:cstheme="minorHAnsi"/>
          <w:sz w:val="22"/>
          <w:szCs w:val="22"/>
          <w:vertAlign w:val="superscript"/>
        </w:rPr>
        <w:t>®</w:t>
      </w:r>
      <w:r w:rsidRPr="00496C57">
        <w:rPr>
          <w:sz w:val="22"/>
          <w:szCs w:val="22"/>
        </w:rPr>
        <w:t xml:space="preserve"> is not cove</w:t>
      </w:r>
      <w:r w:rsidR="008B1CD2" w:rsidRPr="00496C57">
        <w:rPr>
          <w:sz w:val="22"/>
          <w:szCs w:val="22"/>
        </w:rPr>
        <w:t xml:space="preserve">red because </w:t>
      </w:r>
      <w:r w:rsidR="00235F8C" w:rsidRPr="00E419B9">
        <w:rPr>
          <w:color w:val="FF0000"/>
          <w:sz w:val="22"/>
          <w:szCs w:val="22"/>
        </w:rPr>
        <w:t>[</w:t>
      </w:r>
      <w:r w:rsidR="00B20ADB" w:rsidRPr="00E419B9">
        <w:rPr>
          <w:color w:val="FF0000"/>
          <w:sz w:val="22"/>
          <w:szCs w:val="22"/>
        </w:rPr>
        <w:t>reason for denial</w:t>
      </w:r>
      <w:r w:rsidR="00235F8C" w:rsidRPr="00E419B9">
        <w:rPr>
          <w:color w:val="FF0000"/>
          <w:sz w:val="22"/>
          <w:szCs w:val="22"/>
        </w:rPr>
        <w:t>]</w:t>
      </w:r>
      <w:r w:rsidR="008B1CD2" w:rsidRPr="00496C57">
        <w:rPr>
          <w:sz w:val="22"/>
          <w:szCs w:val="22"/>
        </w:rPr>
        <w:t>.</w:t>
      </w:r>
    </w:p>
    <w:p w14:paraId="04AA3426" w14:textId="77777777" w:rsidR="00562544" w:rsidRPr="00496C57" w:rsidRDefault="00562544" w:rsidP="007467F6">
      <w:pPr>
        <w:rPr>
          <w:rFonts w:eastAsia="Times New Roman"/>
          <w:sz w:val="22"/>
          <w:szCs w:val="22"/>
        </w:rPr>
      </w:pPr>
    </w:p>
    <w:p w14:paraId="30D1E45F" w14:textId="6C37D3F4" w:rsidR="007467F6" w:rsidRPr="00FE5B1D" w:rsidRDefault="00EA0AF8" w:rsidP="007467F6">
      <w:pPr>
        <w:rPr>
          <w:rFonts w:eastAsia="Times New Roman"/>
          <w:color w:val="FF0000"/>
          <w:sz w:val="22"/>
          <w:szCs w:val="22"/>
        </w:rPr>
      </w:pPr>
      <w:r w:rsidRPr="00FE5B1D">
        <w:rPr>
          <w:rFonts w:eastAsia="Times New Roman"/>
          <w:color w:val="FF0000"/>
          <w:sz w:val="22"/>
          <w:szCs w:val="22"/>
        </w:rPr>
        <w:t>[</w:t>
      </w:r>
      <w:r w:rsidR="0087772C" w:rsidRPr="00FE5B1D">
        <w:rPr>
          <w:rFonts w:eastAsia="Times New Roman"/>
          <w:color w:val="FF0000"/>
          <w:sz w:val="22"/>
          <w:szCs w:val="22"/>
        </w:rPr>
        <w:t>Briefly describe</w:t>
      </w:r>
      <w:r w:rsidR="00B20ADB" w:rsidRPr="00FE5B1D">
        <w:rPr>
          <w:rFonts w:eastAsia="Times New Roman"/>
          <w:color w:val="FF0000"/>
          <w:sz w:val="22"/>
          <w:szCs w:val="22"/>
        </w:rPr>
        <w:t xml:space="preserve"> patient’s symptoms, therapy to date, and any other pertinent information</w:t>
      </w:r>
      <w:r w:rsidR="00CE784E" w:rsidRPr="00FE5B1D">
        <w:rPr>
          <w:rFonts w:eastAsia="Times New Roman"/>
          <w:color w:val="FF0000"/>
          <w:sz w:val="22"/>
          <w:szCs w:val="22"/>
        </w:rPr>
        <w:t>, including how</w:t>
      </w:r>
      <w:r w:rsidR="00B20ADB" w:rsidRPr="00FE5B1D">
        <w:rPr>
          <w:rFonts w:eastAsia="Times New Roman"/>
          <w:color w:val="FF0000"/>
          <w:sz w:val="22"/>
          <w:szCs w:val="22"/>
        </w:rPr>
        <w:t xml:space="preserve"> </w:t>
      </w:r>
      <w:r w:rsidR="00647F7B" w:rsidRPr="00FE5B1D">
        <w:rPr>
          <w:color w:val="FF0000"/>
          <w:sz w:val="22"/>
          <w:szCs w:val="22"/>
        </w:rPr>
        <w:t>SMOFlipid</w:t>
      </w:r>
      <w:r w:rsidR="00E419B9" w:rsidRPr="00FE5B1D">
        <w:rPr>
          <w:color w:val="FF0000"/>
          <w:sz w:val="22"/>
          <w:szCs w:val="22"/>
          <w:vertAlign w:val="superscript"/>
        </w:rPr>
        <w:t>®</w:t>
      </w:r>
      <w:r w:rsidR="007467F6" w:rsidRPr="00FE5B1D">
        <w:rPr>
          <w:rFonts w:eastAsia="Times New Roman"/>
          <w:color w:val="FF0000"/>
          <w:sz w:val="22"/>
          <w:szCs w:val="22"/>
          <w:vertAlign w:val="superscript"/>
        </w:rPr>
        <w:t xml:space="preserve"> </w:t>
      </w:r>
      <w:r w:rsidR="007467F6" w:rsidRPr="00FE5B1D">
        <w:rPr>
          <w:rFonts w:eastAsia="Times New Roman"/>
          <w:color w:val="FF0000"/>
          <w:sz w:val="22"/>
          <w:szCs w:val="22"/>
        </w:rPr>
        <w:t xml:space="preserve">has </w:t>
      </w:r>
      <w:r w:rsidR="00CE784E" w:rsidRPr="00FE5B1D">
        <w:rPr>
          <w:rFonts w:eastAsia="Times New Roman"/>
          <w:color w:val="FF0000"/>
          <w:sz w:val="22"/>
          <w:szCs w:val="22"/>
        </w:rPr>
        <w:t>been effective for this specific patient.</w:t>
      </w:r>
      <w:r w:rsidR="00FE5B1D" w:rsidRPr="00FE5B1D">
        <w:rPr>
          <w:rFonts w:eastAsia="Times New Roman"/>
          <w:color w:val="FF0000"/>
          <w:sz w:val="22"/>
          <w:szCs w:val="22"/>
        </w:rPr>
        <w:t xml:space="preserve">  If this is for a medical necessity denial, </w:t>
      </w:r>
      <w:r w:rsidR="00FE5B1D" w:rsidRPr="00DD3C8F">
        <w:rPr>
          <w:rFonts w:eastAsia="Times New Roman"/>
          <w:color w:val="FF0000"/>
          <w:sz w:val="22"/>
          <w:szCs w:val="22"/>
        </w:rPr>
        <w:t>make sure</w:t>
      </w:r>
      <w:r w:rsidR="00FE5B1D" w:rsidRPr="00FE5B1D">
        <w:rPr>
          <w:rFonts w:eastAsia="Times New Roman"/>
          <w:color w:val="FF0000"/>
          <w:sz w:val="22"/>
          <w:szCs w:val="22"/>
        </w:rPr>
        <w:t xml:space="preserve"> that the patient meets the medical </w:t>
      </w:r>
      <w:r w:rsidR="00966DD5">
        <w:rPr>
          <w:rFonts w:eastAsia="Times New Roman"/>
          <w:color w:val="FF0000"/>
          <w:sz w:val="22"/>
          <w:szCs w:val="22"/>
        </w:rPr>
        <w:t xml:space="preserve">necessity </w:t>
      </w:r>
      <w:r w:rsidR="00FE5B1D" w:rsidRPr="00FE5B1D">
        <w:rPr>
          <w:rFonts w:eastAsia="Times New Roman"/>
          <w:color w:val="FF0000"/>
          <w:sz w:val="22"/>
          <w:szCs w:val="22"/>
        </w:rPr>
        <w:t>criteria outlined within the insurance medical policy or the Medicare LCD/Article.</w:t>
      </w:r>
      <w:r w:rsidR="00CE784E" w:rsidRPr="00FE5B1D">
        <w:rPr>
          <w:rFonts w:eastAsia="Times New Roman"/>
          <w:color w:val="FF0000"/>
          <w:sz w:val="22"/>
          <w:szCs w:val="22"/>
        </w:rPr>
        <w:t>]</w:t>
      </w:r>
      <w:r w:rsidR="007467F6" w:rsidRPr="00FE5B1D">
        <w:rPr>
          <w:rFonts w:eastAsia="Times New Roman"/>
          <w:color w:val="FF0000"/>
          <w:sz w:val="22"/>
          <w:szCs w:val="22"/>
        </w:rPr>
        <w:t xml:space="preserve"> </w:t>
      </w:r>
    </w:p>
    <w:p w14:paraId="62F7878F" w14:textId="77777777" w:rsidR="007467F6" w:rsidRPr="00496C57" w:rsidRDefault="007467F6" w:rsidP="007467F6">
      <w:pPr>
        <w:autoSpaceDE w:val="0"/>
        <w:autoSpaceDN w:val="0"/>
        <w:adjustRightInd w:val="0"/>
        <w:rPr>
          <w:sz w:val="22"/>
          <w:szCs w:val="22"/>
        </w:rPr>
      </w:pPr>
    </w:p>
    <w:p w14:paraId="70EE8E7D" w14:textId="2736DCBA" w:rsidR="007467F6" w:rsidRPr="00496C57" w:rsidRDefault="007467F6" w:rsidP="007467F6">
      <w:pPr>
        <w:autoSpaceDE w:val="0"/>
        <w:autoSpaceDN w:val="0"/>
        <w:adjustRightInd w:val="0"/>
        <w:rPr>
          <w:sz w:val="22"/>
          <w:szCs w:val="22"/>
        </w:rPr>
      </w:pPr>
      <w:r w:rsidRPr="00496C57">
        <w:rPr>
          <w:sz w:val="22"/>
          <w:szCs w:val="22"/>
        </w:rPr>
        <w:t>The attached</w:t>
      </w:r>
      <w:r w:rsidR="00AC5134">
        <w:rPr>
          <w:sz w:val="22"/>
          <w:szCs w:val="22"/>
        </w:rPr>
        <w:t xml:space="preserve"> </w:t>
      </w:r>
      <w:r w:rsidR="00647F7B">
        <w:rPr>
          <w:sz w:val="22"/>
          <w:szCs w:val="22"/>
        </w:rPr>
        <w:t xml:space="preserve">Brief Summary </w:t>
      </w:r>
      <w:r w:rsidRPr="00496C57">
        <w:rPr>
          <w:sz w:val="22"/>
          <w:szCs w:val="22"/>
        </w:rPr>
        <w:t xml:space="preserve">provides the approved clinical information for </w:t>
      </w:r>
      <w:r w:rsidR="00647F7B">
        <w:rPr>
          <w:sz w:val="22"/>
          <w:szCs w:val="22"/>
        </w:rPr>
        <w:t>SMOFlipid</w:t>
      </w:r>
      <w:r w:rsidR="00103922" w:rsidRPr="00103922">
        <w:rPr>
          <w:rFonts w:cstheme="minorHAnsi"/>
          <w:sz w:val="22"/>
          <w:szCs w:val="22"/>
          <w:vertAlign w:val="superscript"/>
        </w:rPr>
        <w:t>®</w:t>
      </w:r>
      <w:r w:rsidR="00235F8C" w:rsidRPr="00103922">
        <w:rPr>
          <w:sz w:val="22"/>
          <w:szCs w:val="22"/>
        </w:rPr>
        <w:t>.</w:t>
      </w:r>
      <w:r w:rsidR="00F1698D">
        <w:rPr>
          <w:sz w:val="22"/>
          <w:szCs w:val="22"/>
        </w:rPr>
        <w:t xml:space="preserve"> </w:t>
      </w:r>
      <w:r w:rsidR="00647F7B">
        <w:rPr>
          <w:sz w:val="22"/>
          <w:szCs w:val="22"/>
        </w:rPr>
        <w:t>SMOFlipid</w:t>
      </w:r>
      <w:r w:rsidR="00103922" w:rsidRPr="00103922">
        <w:rPr>
          <w:rFonts w:cstheme="minorHAnsi"/>
          <w:sz w:val="22"/>
          <w:szCs w:val="22"/>
          <w:vertAlign w:val="superscript"/>
        </w:rPr>
        <w:t>®</w:t>
      </w:r>
      <w:r w:rsidRPr="00496C57">
        <w:rPr>
          <w:sz w:val="22"/>
          <w:szCs w:val="22"/>
        </w:rPr>
        <w:t xml:space="preserve"> has been administered as a medically necessary part of this patient’s treatment. </w:t>
      </w:r>
    </w:p>
    <w:p w14:paraId="3BBB068E" w14:textId="77777777" w:rsidR="00C6711D" w:rsidRDefault="00C6711D" w:rsidP="007467F6">
      <w:pPr>
        <w:autoSpaceDE w:val="0"/>
        <w:autoSpaceDN w:val="0"/>
        <w:adjustRightInd w:val="0"/>
        <w:rPr>
          <w:sz w:val="22"/>
          <w:szCs w:val="22"/>
        </w:rPr>
      </w:pPr>
    </w:p>
    <w:p w14:paraId="1F4A9C67" w14:textId="1FA002B5" w:rsidR="007467F6" w:rsidRPr="00496C57" w:rsidRDefault="007467F6" w:rsidP="007467F6">
      <w:pPr>
        <w:autoSpaceDE w:val="0"/>
        <w:autoSpaceDN w:val="0"/>
        <w:adjustRightInd w:val="0"/>
        <w:rPr>
          <w:sz w:val="22"/>
          <w:szCs w:val="22"/>
        </w:rPr>
      </w:pPr>
      <w:r w:rsidRPr="00496C57">
        <w:rPr>
          <w:sz w:val="22"/>
          <w:szCs w:val="22"/>
        </w:rPr>
        <w:t>I would appreciate reconsideration of coverage for</w:t>
      </w:r>
      <w:r w:rsidR="00907FC7" w:rsidRPr="00496C57">
        <w:rPr>
          <w:sz w:val="22"/>
          <w:szCs w:val="22"/>
        </w:rPr>
        <w:t xml:space="preserve"> the</w:t>
      </w:r>
      <w:r w:rsidRPr="00496C57">
        <w:rPr>
          <w:sz w:val="22"/>
          <w:szCs w:val="22"/>
        </w:rPr>
        <w:t xml:space="preserve"> </w:t>
      </w:r>
      <w:r w:rsidR="00CE784E" w:rsidRPr="00CE784E">
        <w:rPr>
          <w:color w:val="FF0000"/>
          <w:sz w:val="22"/>
          <w:szCs w:val="22"/>
        </w:rPr>
        <w:t xml:space="preserve">[Prior Authorization/Claim] </w:t>
      </w:r>
      <w:r w:rsidR="00CE784E" w:rsidRPr="00CE784E">
        <w:rPr>
          <w:sz w:val="22"/>
          <w:szCs w:val="22"/>
        </w:rPr>
        <w:t>for the</w:t>
      </w:r>
      <w:r w:rsidR="00CE784E">
        <w:rPr>
          <w:sz w:val="22"/>
          <w:szCs w:val="22"/>
        </w:rPr>
        <w:t xml:space="preserve"> dates of service referenced above </w:t>
      </w:r>
      <w:r w:rsidRPr="00496C57">
        <w:rPr>
          <w:sz w:val="22"/>
          <w:szCs w:val="22"/>
        </w:rPr>
        <w:t xml:space="preserve">for </w:t>
      </w:r>
      <w:r w:rsidR="00E419B9" w:rsidRPr="00E419B9">
        <w:rPr>
          <w:color w:val="FF0000"/>
          <w:sz w:val="22"/>
          <w:szCs w:val="22"/>
        </w:rPr>
        <w:t>[</w:t>
      </w:r>
      <w:r w:rsidR="00B20ADB" w:rsidRPr="00E419B9">
        <w:rPr>
          <w:color w:val="FF0000"/>
          <w:sz w:val="22"/>
          <w:szCs w:val="22"/>
        </w:rPr>
        <w:t>Patient Name</w:t>
      </w:r>
      <w:r w:rsidR="00EA0AF8" w:rsidRPr="00E419B9">
        <w:rPr>
          <w:color w:val="FF0000"/>
          <w:sz w:val="22"/>
          <w:szCs w:val="22"/>
        </w:rPr>
        <w:t>]</w:t>
      </w:r>
      <w:r w:rsidRPr="00496C57">
        <w:rPr>
          <w:sz w:val="22"/>
          <w:szCs w:val="22"/>
        </w:rPr>
        <w:t xml:space="preserve">. </w:t>
      </w:r>
    </w:p>
    <w:p w14:paraId="2F085846" w14:textId="77777777" w:rsidR="007467F6" w:rsidRPr="00496C57" w:rsidRDefault="007467F6" w:rsidP="007467F6">
      <w:pPr>
        <w:autoSpaceDE w:val="0"/>
        <w:autoSpaceDN w:val="0"/>
        <w:adjustRightInd w:val="0"/>
        <w:rPr>
          <w:sz w:val="22"/>
          <w:szCs w:val="22"/>
        </w:rPr>
      </w:pPr>
    </w:p>
    <w:p w14:paraId="6BAFF4CE" w14:textId="21AE8DF6" w:rsidR="007467F6" w:rsidRPr="00496C57" w:rsidRDefault="007467F6" w:rsidP="007467F6">
      <w:pPr>
        <w:autoSpaceDE w:val="0"/>
        <w:autoSpaceDN w:val="0"/>
        <w:adjustRightInd w:val="0"/>
        <w:rPr>
          <w:sz w:val="22"/>
          <w:szCs w:val="22"/>
        </w:rPr>
      </w:pPr>
      <w:r w:rsidRPr="00496C57">
        <w:rPr>
          <w:sz w:val="22"/>
          <w:szCs w:val="22"/>
        </w:rPr>
        <w:t>Please contact me at if you require additional information.</w:t>
      </w:r>
    </w:p>
    <w:p w14:paraId="2C6D5BA5" w14:textId="77777777" w:rsidR="007467F6" w:rsidRPr="00496C57" w:rsidRDefault="007467F6" w:rsidP="007467F6">
      <w:pPr>
        <w:autoSpaceDE w:val="0"/>
        <w:autoSpaceDN w:val="0"/>
        <w:adjustRightInd w:val="0"/>
        <w:rPr>
          <w:sz w:val="22"/>
          <w:szCs w:val="22"/>
        </w:rPr>
      </w:pPr>
    </w:p>
    <w:p w14:paraId="584F64D7" w14:textId="77777777" w:rsidR="007467F6" w:rsidRPr="00496C57" w:rsidRDefault="007467F6" w:rsidP="007467F6">
      <w:pPr>
        <w:autoSpaceDE w:val="0"/>
        <w:autoSpaceDN w:val="0"/>
        <w:adjustRightInd w:val="0"/>
        <w:rPr>
          <w:sz w:val="22"/>
          <w:szCs w:val="22"/>
        </w:rPr>
      </w:pPr>
      <w:r w:rsidRPr="00496C57">
        <w:rPr>
          <w:sz w:val="22"/>
          <w:szCs w:val="22"/>
        </w:rPr>
        <w:t>Sincerely,</w:t>
      </w:r>
    </w:p>
    <w:p w14:paraId="75D818FF" w14:textId="074A0B2F" w:rsidR="00CE784E" w:rsidRPr="00496C57" w:rsidRDefault="00CE784E" w:rsidP="007467F6">
      <w:pPr>
        <w:autoSpaceDE w:val="0"/>
        <w:autoSpaceDN w:val="0"/>
        <w:adjustRightInd w:val="0"/>
        <w:rPr>
          <w:sz w:val="22"/>
          <w:szCs w:val="22"/>
        </w:rPr>
      </w:pPr>
    </w:p>
    <w:p w14:paraId="0F2E5C5E" w14:textId="2C4C398A" w:rsidR="00B20ADB" w:rsidRPr="00DD3C8F" w:rsidRDefault="00DD3C8F" w:rsidP="007467F6">
      <w:pPr>
        <w:autoSpaceDE w:val="0"/>
        <w:autoSpaceDN w:val="0"/>
        <w:adjustRightInd w:val="0"/>
        <w:rPr>
          <w:color w:val="FF0000"/>
          <w:sz w:val="22"/>
          <w:szCs w:val="22"/>
        </w:rPr>
      </w:pPr>
      <w:r w:rsidRPr="007351F4">
        <w:rPr>
          <w:color w:val="FF0000"/>
          <w:sz w:val="22"/>
          <w:szCs w:val="22"/>
        </w:rPr>
        <w:t xml:space="preserve">[Physician </w:t>
      </w:r>
      <w:r>
        <w:rPr>
          <w:color w:val="FF0000"/>
          <w:sz w:val="22"/>
          <w:szCs w:val="22"/>
        </w:rPr>
        <w:t>Signature</w:t>
      </w:r>
      <w:r w:rsidRPr="00E419B9">
        <w:rPr>
          <w:color w:val="FF0000"/>
          <w:sz w:val="22"/>
          <w:szCs w:val="22"/>
        </w:rPr>
        <w:t>]</w:t>
      </w:r>
    </w:p>
    <w:p w14:paraId="0A957389" w14:textId="3E07F4B7" w:rsidR="007467F6" w:rsidRDefault="00EA0AF8" w:rsidP="007467F6">
      <w:pPr>
        <w:autoSpaceDE w:val="0"/>
        <w:autoSpaceDN w:val="0"/>
        <w:adjustRightInd w:val="0"/>
        <w:rPr>
          <w:color w:val="FF0000"/>
          <w:sz w:val="22"/>
          <w:szCs w:val="22"/>
        </w:rPr>
      </w:pPr>
      <w:r w:rsidRPr="007351F4">
        <w:rPr>
          <w:color w:val="FF0000"/>
          <w:sz w:val="22"/>
          <w:szCs w:val="22"/>
        </w:rPr>
        <w:t>[</w:t>
      </w:r>
      <w:r w:rsidR="00B20ADB" w:rsidRPr="007351F4">
        <w:rPr>
          <w:color w:val="FF0000"/>
          <w:sz w:val="22"/>
          <w:szCs w:val="22"/>
        </w:rPr>
        <w:t xml:space="preserve">Physician </w:t>
      </w:r>
      <w:r w:rsidR="00B20ADB" w:rsidRPr="00E419B9">
        <w:rPr>
          <w:color w:val="FF0000"/>
          <w:sz w:val="22"/>
          <w:szCs w:val="22"/>
        </w:rPr>
        <w:t>Name</w:t>
      </w:r>
      <w:r w:rsidRPr="00E419B9">
        <w:rPr>
          <w:color w:val="FF0000"/>
          <w:sz w:val="22"/>
          <w:szCs w:val="22"/>
        </w:rPr>
        <w:t>]</w:t>
      </w:r>
    </w:p>
    <w:p w14:paraId="5243EE11" w14:textId="2DCD6C03" w:rsidR="00CE784E" w:rsidRDefault="00CE784E" w:rsidP="007467F6">
      <w:pPr>
        <w:autoSpaceDE w:val="0"/>
        <w:autoSpaceDN w:val="0"/>
        <w:adjustRightInd w:val="0"/>
        <w:rPr>
          <w:color w:val="FF0000"/>
          <w:sz w:val="22"/>
          <w:szCs w:val="22"/>
        </w:rPr>
      </w:pPr>
      <w:r>
        <w:rPr>
          <w:color w:val="FF0000"/>
          <w:sz w:val="22"/>
          <w:szCs w:val="22"/>
        </w:rPr>
        <w:t>[Physician Street Address]</w:t>
      </w:r>
    </w:p>
    <w:p w14:paraId="3CB57214" w14:textId="6428C111" w:rsidR="00CE784E" w:rsidRPr="00E419B9" w:rsidRDefault="00CE784E" w:rsidP="007467F6">
      <w:pPr>
        <w:autoSpaceDE w:val="0"/>
        <w:autoSpaceDN w:val="0"/>
        <w:adjustRightInd w:val="0"/>
        <w:rPr>
          <w:color w:val="FF0000"/>
          <w:sz w:val="22"/>
          <w:szCs w:val="22"/>
        </w:rPr>
      </w:pPr>
      <w:r>
        <w:rPr>
          <w:color w:val="FF0000"/>
          <w:sz w:val="22"/>
          <w:szCs w:val="22"/>
        </w:rPr>
        <w:t>[Physician City, State, Zip]</w:t>
      </w:r>
    </w:p>
    <w:p w14:paraId="5DCA2050" w14:textId="3F5602E1" w:rsidR="00B20ADB" w:rsidRPr="00E419B9" w:rsidRDefault="00EA0AF8" w:rsidP="007467F6">
      <w:pPr>
        <w:autoSpaceDE w:val="0"/>
        <w:autoSpaceDN w:val="0"/>
        <w:adjustRightInd w:val="0"/>
        <w:rPr>
          <w:color w:val="FF0000"/>
          <w:sz w:val="22"/>
          <w:szCs w:val="22"/>
        </w:rPr>
      </w:pPr>
      <w:r w:rsidRPr="00E419B9">
        <w:rPr>
          <w:color w:val="FF0000"/>
          <w:sz w:val="22"/>
          <w:szCs w:val="22"/>
        </w:rPr>
        <w:t>[</w:t>
      </w:r>
      <w:r w:rsidR="00B20ADB" w:rsidRPr="00E419B9">
        <w:rPr>
          <w:color w:val="FF0000"/>
          <w:sz w:val="22"/>
          <w:szCs w:val="22"/>
        </w:rPr>
        <w:t>Participating Provider Number</w:t>
      </w:r>
      <w:r w:rsidRPr="00E419B9">
        <w:rPr>
          <w:color w:val="FF0000"/>
          <w:sz w:val="22"/>
          <w:szCs w:val="22"/>
        </w:rPr>
        <w:t>]</w:t>
      </w:r>
    </w:p>
    <w:p w14:paraId="5E408647" w14:textId="7100DFEF" w:rsidR="00B20ADB" w:rsidRPr="00E419B9" w:rsidRDefault="00E419B9" w:rsidP="008B1CD2">
      <w:pPr>
        <w:autoSpaceDE w:val="0"/>
        <w:autoSpaceDN w:val="0"/>
        <w:adjustRightInd w:val="0"/>
        <w:spacing w:after="360"/>
        <w:rPr>
          <w:color w:val="FF0000"/>
          <w:sz w:val="22"/>
          <w:szCs w:val="22"/>
        </w:rPr>
      </w:pPr>
      <w:r w:rsidRPr="00E419B9">
        <w:rPr>
          <w:color w:val="FF0000"/>
          <w:sz w:val="22"/>
          <w:szCs w:val="22"/>
        </w:rPr>
        <w:t>[Phone Number]</w:t>
      </w:r>
    </w:p>
    <w:p w14:paraId="0C31D91F" w14:textId="6E092790" w:rsidR="008B1CD2" w:rsidRDefault="007467F6" w:rsidP="002028C1">
      <w:pPr>
        <w:autoSpaceDE w:val="0"/>
        <w:autoSpaceDN w:val="0"/>
        <w:adjustRightInd w:val="0"/>
        <w:spacing w:after="360"/>
        <w:rPr>
          <w:color w:val="FF0000"/>
          <w:sz w:val="22"/>
          <w:szCs w:val="22"/>
        </w:rPr>
      </w:pPr>
      <w:r w:rsidRPr="00496C57">
        <w:rPr>
          <w:sz w:val="22"/>
          <w:szCs w:val="22"/>
        </w:rPr>
        <w:t xml:space="preserve">Enclosures </w:t>
      </w:r>
      <w:r w:rsidRPr="00E419B9">
        <w:rPr>
          <w:color w:val="FF0000"/>
          <w:sz w:val="22"/>
          <w:szCs w:val="22"/>
        </w:rPr>
        <w:t xml:space="preserve">[Attach original </w:t>
      </w:r>
      <w:r w:rsidR="00103922">
        <w:rPr>
          <w:color w:val="FF0000"/>
          <w:sz w:val="22"/>
          <w:szCs w:val="22"/>
        </w:rPr>
        <w:t xml:space="preserve">prior authorization or </w:t>
      </w:r>
      <w:r w:rsidRPr="00E419B9">
        <w:rPr>
          <w:color w:val="FF0000"/>
          <w:sz w:val="22"/>
          <w:szCs w:val="22"/>
        </w:rPr>
        <w:t xml:space="preserve">claim form, denial/Explanation of Benefits, </w:t>
      </w:r>
      <w:r w:rsidR="00907FC7" w:rsidRPr="00E419B9">
        <w:rPr>
          <w:color w:val="FF0000"/>
          <w:sz w:val="22"/>
          <w:szCs w:val="22"/>
        </w:rPr>
        <w:t xml:space="preserve">and </w:t>
      </w:r>
      <w:r w:rsidRPr="00E419B9">
        <w:rPr>
          <w:color w:val="FF0000"/>
          <w:sz w:val="22"/>
          <w:szCs w:val="22"/>
        </w:rPr>
        <w:t xml:space="preserve">additional supporting documents </w:t>
      </w:r>
      <w:r w:rsidR="00907FC7" w:rsidRPr="00E419B9">
        <w:rPr>
          <w:color w:val="FF0000"/>
          <w:sz w:val="22"/>
          <w:szCs w:val="22"/>
        </w:rPr>
        <w:t>(</w:t>
      </w:r>
      <w:r w:rsidRPr="00E419B9">
        <w:rPr>
          <w:color w:val="FF0000"/>
          <w:sz w:val="22"/>
          <w:szCs w:val="22"/>
        </w:rPr>
        <w:t>such as patient’s treatment with</w:t>
      </w:r>
      <w:r w:rsidR="00103922">
        <w:rPr>
          <w:color w:val="FF0000"/>
          <w:sz w:val="22"/>
          <w:szCs w:val="22"/>
        </w:rPr>
        <w:t xml:space="preserve"> </w:t>
      </w:r>
      <w:r w:rsidR="00647F7B">
        <w:rPr>
          <w:color w:val="FF0000"/>
          <w:sz w:val="22"/>
          <w:szCs w:val="22"/>
        </w:rPr>
        <w:t>SMOFlipid</w:t>
      </w:r>
      <w:r w:rsidR="00103922" w:rsidRPr="00103922">
        <w:rPr>
          <w:rFonts w:cstheme="minorHAnsi"/>
          <w:color w:val="FF0000"/>
          <w:sz w:val="22"/>
          <w:szCs w:val="22"/>
          <w:vertAlign w:val="superscript"/>
        </w:rPr>
        <w:t>®</w:t>
      </w:r>
      <w:r w:rsidRPr="00E419B9">
        <w:rPr>
          <w:color w:val="FF0000"/>
          <w:sz w:val="22"/>
          <w:szCs w:val="22"/>
        </w:rPr>
        <w:t>, medical history, diagnosis, lab results</w:t>
      </w:r>
      <w:r w:rsidR="006B5A03" w:rsidRPr="00E419B9">
        <w:rPr>
          <w:color w:val="FF0000"/>
          <w:sz w:val="22"/>
          <w:szCs w:val="22"/>
        </w:rPr>
        <w:t>,</w:t>
      </w:r>
      <w:r w:rsidRPr="00E419B9">
        <w:rPr>
          <w:color w:val="FF0000"/>
          <w:sz w:val="22"/>
          <w:szCs w:val="22"/>
        </w:rPr>
        <w:t xml:space="preserve"> </w:t>
      </w:r>
      <w:r w:rsidR="00E45399">
        <w:rPr>
          <w:color w:val="FF0000"/>
          <w:sz w:val="22"/>
          <w:szCs w:val="22"/>
        </w:rPr>
        <w:t xml:space="preserve">SMOFlipid </w:t>
      </w:r>
      <w:proofErr w:type="gramStart"/>
      <w:r w:rsidR="00E45399">
        <w:rPr>
          <w:color w:val="FF0000"/>
          <w:sz w:val="22"/>
          <w:szCs w:val="22"/>
        </w:rPr>
        <w:t>brief summary</w:t>
      </w:r>
      <w:proofErr w:type="gramEnd"/>
      <w:r w:rsidR="00E45399">
        <w:rPr>
          <w:color w:val="FF0000"/>
          <w:sz w:val="22"/>
          <w:szCs w:val="22"/>
        </w:rPr>
        <w:t xml:space="preserve"> of prescribing information and </w:t>
      </w:r>
      <w:r w:rsidRPr="00E419B9">
        <w:rPr>
          <w:color w:val="FF0000"/>
          <w:sz w:val="22"/>
          <w:szCs w:val="22"/>
        </w:rPr>
        <w:t>treatment plan</w:t>
      </w:r>
      <w:r w:rsidR="006B5A03" w:rsidRPr="00E419B9">
        <w:rPr>
          <w:color w:val="FF0000"/>
          <w:sz w:val="22"/>
          <w:szCs w:val="22"/>
        </w:rPr>
        <w:t>)</w:t>
      </w:r>
      <w:r w:rsidR="00AA016A" w:rsidRPr="00E419B9">
        <w:rPr>
          <w:color w:val="FF0000"/>
          <w:sz w:val="22"/>
          <w:szCs w:val="22"/>
        </w:rPr>
        <w:t>.</w:t>
      </w:r>
      <w:r w:rsidR="00EA0AF8" w:rsidRPr="00E419B9">
        <w:rPr>
          <w:color w:val="FF0000"/>
          <w:sz w:val="22"/>
          <w:szCs w:val="22"/>
        </w:rPr>
        <w:t>]</w:t>
      </w:r>
    </w:p>
    <w:p w14:paraId="3ACC3A3E" w14:textId="77777777" w:rsidR="001D0255" w:rsidRPr="0079307E" w:rsidRDefault="001D0255" w:rsidP="001D0255">
      <w:pPr>
        <w:autoSpaceDE w:val="0"/>
        <w:autoSpaceDN w:val="0"/>
        <w:adjustRightInd w:val="0"/>
        <w:jc w:val="both"/>
        <w:rPr>
          <w:rFonts w:cs="Frutiger-BoldCn"/>
          <w:b/>
          <w:bCs/>
          <w:sz w:val="20"/>
          <w:szCs w:val="20"/>
        </w:rPr>
      </w:pPr>
      <w:r w:rsidRPr="0079307E">
        <w:rPr>
          <w:rFonts w:cs="Frutiger-BoldCn"/>
          <w:b/>
          <w:bCs/>
          <w:sz w:val="20"/>
          <w:szCs w:val="20"/>
        </w:rPr>
        <w:lastRenderedPageBreak/>
        <w:t xml:space="preserve">SMOFLIPID (lipid injectable emulsion), for intravenous use </w:t>
      </w:r>
    </w:p>
    <w:p w14:paraId="47E33217" w14:textId="77777777" w:rsidR="001D0255" w:rsidRDefault="001D0255" w:rsidP="001D0255">
      <w:pPr>
        <w:autoSpaceDE w:val="0"/>
        <w:autoSpaceDN w:val="0"/>
        <w:adjustRightInd w:val="0"/>
        <w:jc w:val="both"/>
        <w:rPr>
          <w:rFonts w:cs="Frutiger-BoldCn"/>
          <w:b/>
          <w:bCs/>
          <w:sz w:val="20"/>
          <w:szCs w:val="20"/>
        </w:rPr>
      </w:pPr>
    </w:p>
    <w:p w14:paraId="720586D3" w14:textId="77777777" w:rsidR="001D0255" w:rsidRPr="00C42056" w:rsidRDefault="001D0255" w:rsidP="001D0255">
      <w:pPr>
        <w:autoSpaceDE w:val="0"/>
        <w:autoSpaceDN w:val="0"/>
        <w:adjustRightInd w:val="0"/>
        <w:jc w:val="both"/>
        <w:rPr>
          <w:rFonts w:cs="Frutiger-BoldCn"/>
          <w:b/>
          <w:bCs/>
          <w:sz w:val="20"/>
          <w:szCs w:val="20"/>
        </w:rPr>
      </w:pPr>
      <w:r w:rsidRPr="00C42056">
        <w:rPr>
          <w:rFonts w:cs="Frutiger-BoldCn"/>
          <w:b/>
          <w:bCs/>
          <w:sz w:val="20"/>
          <w:szCs w:val="20"/>
        </w:rPr>
        <w:t>BRIEF SUMMARY OF PRESCRIBING INFORMATION</w:t>
      </w:r>
    </w:p>
    <w:p w14:paraId="59125120" w14:textId="77777777" w:rsidR="001D0255" w:rsidRDefault="001D0255" w:rsidP="001D0255">
      <w:pPr>
        <w:rPr>
          <w:rFonts w:eastAsia="Times New Roman" w:cs="Times New Roman"/>
          <w:b/>
          <w:bCs/>
          <w:sz w:val="20"/>
          <w:szCs w:val="20"/>
        </w:rPr>
      </w:pPr>
    </w:p>
    <w:p w14:paraId="2EBF17DC" w14:textId="77777777" w:rsidR="001D0255" w:rsidRDefault="001D0255" w:rsidP="001D0255">
      <w:pPr>
        <w:rPr>
          <w:rFonts w:eastAsia="Times New Roman" w:cs="Times New Roman"/>
          <w:b/>
          <w:sz w:val="20"/>
          <w:szCs w:val="20"/>
        </w:rPr>
      </w:pPr>
      <w:r w:rsidRPr="0079307E">
        <w:rPr>
          <w:rFonts w:eastAsia="Times New Roman" w:cs="Times New Roman"/>
          <w:b/>
          <w:bCs/>
          <w:sz w:val="20"/>
          <w:szCs w:val="20"/>
        </w:rPr>
        <w:t xml:space="preserve">This </w:t>
      </w:r>
      <w:proofErr w:type="gramStart"/>
      <w:r w:rsidRPr="0079307E">
        <w:rPr>
          <w:rFonts w:eastAsia="Times New Roman" w:cs="Times New Roman"/>
          <w:b/>
          <w:bCs/>
          <w:sz w:val="20"/>
          <w:szCs w:val="20"/>
        </w:rPr>
        <w:t>brief summary</w:t>
      </w:r>
      <w:proofErr w:type="gramEnd"/>
      <w:r w:rsidRPr="0079307E">
        <w:rPr>
          <w:rFonts w:eastAsia="Times New Roman" w:cs="Times New Roman"/>
          <w:b/>
          <w:bCs/>
          <w:sz w:val="20"/>
          <w:szCs w:val="20"/>
        </w:rPr>
        <w:t xml:space="preserve"> does not include all the information needed to use S</w:t>
      </w:r>
      <w:r>
        <w:rPr>
          <w:rFonts w:eastAsia="Times New Roman" w:cs="Times New Roman"/>
          <w:b/>
          <w:bCs/>
          <w:sz w:val="20"/>
          <w:szCs w:val="20"/>
        </w:rPr>
        <w:t>MOFl</w:t>
      </w:r>
      <w:r w:rsidRPr="0079307E">
        <w:rPr>
          <w:rFonts w:eastAsia="Times New Roman" w:cs="Times New Roman"/>
          <w:b/>
          <w:bCs/>
          <w:sz w:val="20"/>
          <w:szCs w:val="20"/>
        </w:rPr>
        <w:t xml:space="preserve">ipid safely and effectively. </w:t>
      </w:r>
      <w:r>
        <w:rPr>
          <w:rFonts w:eastAsia="Times New Roman" w:cs="Times New Roman"/>
          <w:b/>
          <w:bCs/>
          <w:sz w:val="20"/>
          <w:szCs w:val="20"/>
          <w:highlight w:val="yellow"/>
        </w:rPr>
        <w:t xml:space="preserve">Please see full prescribing information </w:t>
      </w:r>
      <w:r>
        <w:rPr>
          <w:rFonts w:eastAsia="Times New Roman" w:cs="Times New Roman"/>
          <w:b/>
          <w:sz w:val="20"/>
          <w:szCs w:val="20"/>
          <w:highlight w:val="yellow"/>
        </w:rPr>
        <w:t xml:space="preserve">for intravenous use at </w:t>
      </w:r>
      <w:hyperlink r:id="rId5" w:history="1">
        <w:r w:rsidRPr="002D54B7">
          <w:rPr>
            <w:rStyle w:val="Hyperlink"/>
            <w:b/>
            <w:bCs/>
            <w:sz w:val="20"/>
            <w:szCs w:val="20"/>
            <w:highlight w:val="yellow"/>
          </w:rPr>
          <w:t>www.F</w:t>
        </w:r>
        <w:r w:rsidRPr="00D512B0">
          <w:rPr>
            <w:rStyle w:val="Hyperlink"/>
            <w:b/>
            <w:bCs/>
            <w:sz w:val="20"/>
            <w:szCs w:val="20"/>
            <w:highlight w:val="yellow"/>
          </w:rPr>
          <w:t>reseniusKabiNutrition.com</w:t>
        </w:r>
      </w:hyperlink>
      <w:r>
        <w:rPr>
          <w:b/>
          <w:bCs/>
          <w:sz w:val="20"/>
          <w:szCs w:val="20"/>
          <w:highlight w:val="yellow"/>
        </w:rPr>
        <w:t>.</w:t>
      </w:r>
    </w:p>
    <w:p w14:paraId="74032797" w14:textId="77777777" w:rsidR="001D0255" w:rsidRPr="007E7D4F" w:rsidRDefault="001D0255" w:rsidP="001D0255">
      <w:pPr>
        <w:jc w:val="both"/>
        <w:rPr>
          <w:rFonts w:eastAsia="Times New Roman" w:cs="Times New Roman"/>
          <w:b/>
          <w:bCs/>
          <w:sz w:val="20"/>
          <w:szCs w:val="20"/>
        </w:rPr>
      </w:pPr>
      <w:r w:rsidRPr="007E7D4F">
        <w:rPr>
          <w:rFonts w:eastAsia="Times New Roman" w:cs="Times New Roman"/>
          <w:b/>
          <w:bCs/>
          <w:sz w:val="20"/>
          <w:szCs w:val="20"/>
        </w:rPr>
        <w:t>INDICATIONS AND USAGE</w:t>
      </w:r>
    </w:p>
    <w:p w14:paraId="3812AF70" w14:textId="77777777" w:rsidR="001D0255" w:rsidRDefault="001D0255" w:rsidP="001D0255">
      <w:pPr>
        <w:jc w:val="both"/>
        <w:rPr>
          <w:rFonts w:eastAsia="Times New Roman" w:cs="Times New Roman"/>
          <w:sz w:val="20"/>
          <w:szCs w:val="20"/>
          <w:u w:val="single"/>
        </w:rPr>
      </w:pPr>
      <w:r>
        <w:rPr>
          <w:rFonts w:eastAsia="Times New Roman" w:cs="Times New Roman"/>
          <w:sz w:val="20"/>
          <w:szCs w:val="20"/>
        </w:rPr>
        <w:t>SMOF</w:t>
      </w:r>
      <w:r w:rsidRPr="007E7D4F">
        <w:rPr>
          <w:rFonts w:eastAsia="Times New Roman" w:cs="Times New Roman"/>
          <w:sz w:val="20"/>
          <w:szCs w:val="20"/>
        </w:rPr>
        <w:t xml:space="preserve">lipid is indicated in adult </w:t>
      </w:r>
      <w:r>
        <w:rPr>
          <w:rFonts w:eastAsia="Times New Roman" w:cs="Times New Roman"/>
          <w:sz w:val="20"/>
          <w:szCs w:val="20"/>
        </w:rPr>
        <w:t xml:space="preserve">and pediatric patients, including term and preterm neonates, </w:t>
      </w:r>
      <w:r w:rsidRPr="007E7D4F">
        <w:rPr>
          <w:rFonts w:eastAsia="Times New Roman" w:cs="Times New Roman"/>
          <w:sz w:val="20"/>
          <w:szCs w:val="20"/>
        </w:rPr>
        <w:t>as a source of calories and essential fatty acids for parenteral nutrition</w:t>
      </w:r>
      <w:r>
        <w:rPr>
          <w:rFonts w:eastAsia="Times New Roman" w:cs="Times New Roman"/>
          <w:sz w:val="20"/>
          <w:szCs w:val="20"/>
        </w:rPr>
        <w:t xml:space="preserve"> (PN)</w:t>
      </w:r>
      <w:r w:rsidRPr="007E7D4F">
        <w:rPr>
          <w:rFonts w:eastAsia="Times New Roman" w:cs="Times New Roman"/>
          <w:sz w:val="20"/>
          <w:szCs w:val="20"/>
        </w:rPr>
        <w:t xml:space="preserve"> when oral or enteral nutrition is not possible, insufficient, or contraindicated.</w:t>
      </w:r>
    </w:p>
    <w:p w14:paraId="3FE11E99" w14:textId="77777777" w:rsidR="001D0255" w:rsidRPr="007E7D4F" w:rsidRDefault="001D0255" w:rsidP="001D0255">
      <w:pPr>
        <w:jc w:val="both"/>
        <w:rPr>
          <w:rFonts w:eastAsia="Times New Roman" w:cs="Times New Roman"/>
          <w:sz w:val="20"/>
          <w:szCs w:val="20"/>
        </w:rPr>
      </w:pPr>
    </w:p>
    <w:p w14:paraId="3A5FB54A" w14:textId="77777777" w:rsidR="001D0255" w:rsidRPr="007B717C" w:rsidRDefault="001D0255" w:rsidP="001D0255">
      <w:pPr>
        <w:jc w:val="both"/>
        <w:rPr>
          <w:rFonts w:eastAsia="Times New Roman" w:cs="Times New Roman"/>
          <w:b/>
          <w:bCs/>
          <w:sz w:val="20"/>
          <w:szCs w:val="20"/>
        </w:rPr>
      </w:pPr>
      <w:r w:rsidRPr="007B717C">
        <w:rPr>
          <w:rFonts w:eastAsia="Times New Roman" w:cs="Times New Roman"/>
          <w:b/>
          <w:bCs/>
          <w:sz w:val="20"/>
          <w:szCs w:val="20"/>
        </w:rPr>
        <w:t xml:space="preserve">DOSAGE AND ADMINISTRATION </w:t>
      </w:r>
    </w:p>
    <w:p w14:paraId="04BAAC55" w14:textId="77777777" w:rsidR="001D0255" w:rsidRPr="003E676F" w:rsidRDefault="001D0255" w:rsidP="001D0255">
      <w:pPr>
        <w:jc w:val="both"/>
        <w:rPr>
          <w:rFonts w:eastAsia="Times New Roman" w:cs="Times New Roman"/>
          <w:sz w:val="20"/>
          <w:szCs w:val="20"/>
        </w:rPr>
      </w:pPr>
      <w:r w:rsidRPr="007B717C">
        <w:rPr>
          <w:rFonts w:eastAsia="Times New Roman" w:cs="Times New Roman"/>
          <w:sz w:val="20"/>
          <w:szCs w:val="20"/>
        </w:rPr>
        <w:t>The recommended daily dosage</w:t>
      </w:r>
      <w:r>
        <w:rPr>
          <w:rFonts w:eastAsia="Times New Roman" w:cs="Times New Roman"/>
          <w:sz w:val="20"/>
          <w:szCs w:val="20"/>
        </w:rPr>
        <w:t xml:space="preserve"> and initial and maximum infusion rates</w:t>
      </w:r>
      <w:r w:rsidRPr="007B717C">
        <w:rPr>
          <w:rFonts w:eastAsia="Times New Roman" w:cs="Times New Roman"/>
          <w:sz w:val="20"/>
          <w:szCs w:val="20"/>
        </w:rPr>
        <w:t xml:space="preserve"> </w:t>
      </w:r>
      <w:r>
        <w:rPr>
          <w:rFonts w:eastAsia="Times New Roman" w:cs="Times New Roman"/>
          <w:sz w:val="20"/>
          <w:szCs w:val="20"/>
        </w:rPr>
        <w:t xml:space="preserve">for pediatric and adult patients are provided in Table 1. Do not exceed the recommended maximum infusion rate in Table 1. The recommended duration of infusion for SMOFlipid will vary depending on the clinical situation. Adjust the administration flow rate by </w:t>
      </w:r>
      <w:proofErr w:type="gramStart"/>
      <w:r>
        <w:rPr>
          <w:rFonts w:eastAsia="Times New Roman" w:cs="Times New Roman"/>
          <w:sz w:val="20"/>
          <w:szCs w:val="20"/>
        </w:rPr>
        <w:t>taking into account</w:t>
      </w:r>
      <w:proofErr w:type="gramEnd"/>
      <w:r>
        <w:rPr>
          <w:rFonts w:eastAsia="Times New Roman" w:cs="Times New Roman"/>
          <w:sz w:val="20"/>
          <w:szCs w:val="20"/>
        </w:rPr>
        <w:t xml:space="preserve"> the dose being administered, the daily volume/intake, and the duration of the infusion.</w:t>
      </w:r>
    </w:p>
    <w:p w14:paraId="0871E132" w14:textId="77777777" w:rsidR="001D0255" w:rsidRDefault="001D0255" w:rsidP="001D0255">
      <w:pPr>
        <w:jc w:val="both"/>
        <w:rPr>
          <w:rFonts w:cstheme="minorHAnsi"/>
          <w:color w:val="000000"/>
          <w:sz w:val="20"/>
          <w:szCs w:val="20"/>
        </w:rPr>
      </w:pPr>
      <w:r>
        <w:rPr>
          <w:rFonts w:eastAsia="Times New Roman" w:cs="Times New Roman"/>
          <w:sz w:val="20"/>
          <w:szCs w:val="20"/>
        </w:rPr>
        <w:t>SMOF</w:t>
      </w:r>
      <w:r w:rsidRPr="007B717C">
        <w:rPr>
          <w:rFonts w:eastAsia="Times New Roman" w:cs="Times New Roman"/>
          <w:sz w:val="20"/>
          <w:szCs w:val="20"/>
        </w:rPr>
        <w:t>lipid 1000 mL is supplied as a Pharmacy Bulk Package for admixing only and is not for direct infusion.  Prior to administration, transfer to a separate PN container</w:t>
      </w:r>
      <w:r>
        <w:rPr>
          <w:rFonts w:eastAsia="Times New Roman" w:cs="Times New Roman"/>
          <w:sz w:val="20"/>
          <w:szCs w:val="20"/>
        </w:rPr>
        <w:t xml:space="preserve"> for individual patient use</w:t>
      </w:r>
      <w:r w:rsidRPr="007B717C">
        <w:rPr>
          <w:rFonts w:eastAsia="Times New Roman" w:cs="Times New Roman"/>
          <w:sz w:val="20"/>
          <w:szCs w:val="20"/>
        </w:rPr>
        <w:t>.</w:t>
      </w:r>
      <w:r>
        <w:rPr>
          <w:rFonts w:eastAsia="Times New Roman" w:cs="Times New Roman"/>
          <w:sz w:val="20"/>
          <w:szCs w:val="20"/>
        </w:rPr>
        <w:t xml:space="preserve"> </w:t>
      </w:r>
      <w:r w:rsidRPr="003E676F">
        <w:rPr>
          <w:rFonts w:cstheme="minorHAnsi"/>
          <w:color w:val="000000"/>
          <w:sz w:val="20"/>
          <w:szCs w:val="20"/>
        </w:rPr>
        <w:t>Use a</w:t>
      </w:r>
      <w:r>
        <w:rPr>
          <w:rFonts w:cstheme="minorHAnsi"/>
          <w:color w:val="000000"/>
          <w:sz w:val="20"/>
          <w:szCs w:val="20"/>
        </w:rPr>
        <w:t xml:space="preserve"> non-vented, non-DEHP</w:t>
      </w:r>
      <w:r w:rsidRPr="003E676F">
        <w:rPr>
          <w:rFonts w:cstheme="minorHAnsi"/>
          <w:color w:val="000000"/>
          <w:sz w:val="20"/>
          <w:szCs w:val="20"/>
        </w:rPr>
        <w:t xml:space="preserve"> 1.2 micron in-line filter during administration.</w:t>
      </w:r>
      <w:r>
        <w:rPr>
          <w:rFonts w:cstheme="minorHAnsi"/>
          <w:color w:val="000000"/>
          <w:sz w:val="20"/>
          <w:szCs w:val="20"/>
        </w:rPr>
        <w:t xml:space="preserve"> Protect the admixed PN solution from light.  </w:t>
      </w:r>
    </w:p>
    <w:p w14:paraId="13D8E401" w14:textId="77777777" w:rsidR="001D0255" w:rsidRDefault="001D0255" w:rsidP="001D0255">
      <w:pPr>
        <w:jc w:val="both"/>
        <w:rPr>
          <w:rFonts w:cstheme="minorHAnsi"/>
          <w:color w:val="000000"/>
          <w:sz w:val="20"/>
          <w:szCs w:val="20"/>
        </w:rPr>
      </w:pPr>
    </w:p>
    <w:p w14:paraId="02AFAD9E" w14:textId="77777777" w:rsidR="001D0255" w:rsidRDefault="001D0255" w:rsidP="001D0255">
      <w:pPr>
        <w:jc w:val="both"/>
        <w:rPr>
          <w:rFonts w:cstheme="minorHAnsi"/>
          <w:b/>
          <w:color w:val="000000"/>
          <w:sz w:val="20"/>
          <w:szCs w:val="20"/>
        </w:rPr>
      </w:pPr>
      <w:r w:rsidRPr="00234713">
        <w:rPr>
          <w:rFonts w:cstheme="minorHAnsi"/>
          <w:b/>
          <w:color w:val="000000"/>
          <w:sz w:val="20"/>
          <w:szCs w:val="20"/>
        </w:rPr>
        <w:t xml:space="preserve">Table 1: Recommended Pediatric </w:t>
      </w:r>
      <w:r>
        <w:rPr>
          <w:rFonts w:cstheme="minorHAnsi"/>
          <w:b/>
          <w:color w:val="000000"/>
          <w:sz w:val="20"/>
          <w:szCs w:val="20"/>
        </w:rPr>
        <w:t>and Adult Dosage and Infusion Rate</w:t>
      </w:r>
    </w:p>
    <w:tbl>
      <w:tblPr>
        <w:tblW w:w="100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2970"/>
        <w:gridCol w:w="1980"/>
      </w:tblGrid>
      <w:tr w:rsidR="001D0255" w:rsidRPr="004D0824" w14:paraId="3EA2AE6A" w14:textId="77777777" w:rsidTr="009C6BA1">
        <w:tc>
          <w:tcPr>
            <w:tcW w:w="2178" w:type="dxa"/>
            <w:vMerge w:val="restart"/>
            <w:vAlign w:val="center"/>
          </w:tcPr>
          <w:p w14:paraId="28A4432B" w14:textId="77777777" w:rsidR="001D0255" w:rsidRPr="00AF382E" w:rsidRDefault="001D0255" w:rsidP="009C6BA1">
            <w:pPr>
              <w:keepNext/>
              <w:keepLines/>
              <w:spacing w:before="120"/>
              <w:ind w:right="-86"/>
              <w:rPr>
                <w:b/>
                <w:bCs/>
                <w:sz w:val="20"/>
                <w:szCs w:val="20"/>
              </w:rPr>
            </w:pPr>
            <w:r w:rsidRPr="00AF382E">
              <w:rPr>
                <w:b/>
                <w:sz w:val="20"/>
                <w:szCs w:val="20"/>
              </w:rPr>
              <w:t>Age</w:t>
            </w:r>
          </w:p>
        </w:tc>
        <w:tc>
          <w:tcPr>
            <w:tcW w:w="2880" w:type="dxa"/>
            <w:vAlign w:val="center"/>
          </w:tcPr>
          <w:p w14:paraId="40B18803" w14:textId="77777777" w:rsidR="001D0255" w:rsidRPr="00AF382E" w:rsidRDefault="001D0255" w:rsidP="009C6BA1">
            <w:pPr>
              <w:keepNext/>
              <w:keepLines/>
              <w:spacing w:before="120"/>
              <w:ind w:right="-86"/>
              <w:jc w:val="center"/>
              <w:rPr>
                <w:b/>
                <w:bCs/>
                <w:sz w:val="20"/>
                <w:szCs w:val="20"/>
              </w:rPr>
            </w:pPr>
            <w:r w:rsidRPr="00AF382E">
              <w:rPr>
                <w:b/>
                <w:bCs/>
                <w:sz w:val="20"/>
                <w:szCs w:val="20"/>
              </w:rPr>
              <w:t>Nutritional Requirements</w:t>
            </w:r>
          </w:p>
        </w:tc>
        <w:tc>
          <w:tcPr>
            <w:tcW w:w="4950" w:type="dxa"/>
            <w:gridSpan w:val="2"/>
            <w:vAlign w:val="center"/>
          </w:tcPr>
          <w:p w14:paraId="75BBBF31" w14:textId="77777777" w:rsidR="001D0255" w:rsidRPr="00AF382E" w:rsidRDefault="001D0255" w:rsidP="009C6BA1">
            <w:pPr>
              <w:keepNext/>
              <w:keepLines/>
              <w:spacing w:before="120"/>
              <w:ind w:right="-86"/>
              <w:jc w:val="center"/>
              <w:rPr>
                <w:b/>
                <w:bCs/>
                <w:sz w:val="20"/>
                <w:szCs w:val="20"/>
              </w:rPr>
            </w:pPr>
            <w:r w:rsidRPr="00AF382E">
              <w:rPr>
                <w:b/>
                <w:bCs/>
                <w:sz w:val="20"/>
                <w:szCs w:val="20"/>
              </w:rPr>
              <w:t>Direct Infusion Rate</w:t>
            </w:r>
          </w:p>
        </w:tc>
      </w:tr>
      <w:tr w:rsidR="001D0255" w:rsidRPr="004D0824" w14:paraId="3DFD3851" w14:textId="77777777" w:rsidTr="009C6BA1">
        <w:tc>
          <w:tcPr>
            <w:tcW w:w="2178" w:type="dxa"/>
            <w:vMerge/>
            <w:vAlign w:val="center"/>
          </w:tcPr>
          <w:p w14:paraId="0209FCD7" w14:textId="77777777" w:rsidR="001D0255" w:rsidRPr="00AF382E" w:rsidRDefault="001D0255" w:rsidP="009C6BA1">
            <w:pPr>
              <w:keepNext/>
              <w:keepLines/>
              <w:spacing w:before="120"/>
              <w:ind w:right="-86"/>
              <w:rPr>
                <w:bCs/>
                <w:sz w:val="20"/>
                <w:szCs w:val="20"/>
              </w:rPr>
            </w:pPr>
          </w:p>
        </w:tc>
        <w:tc>
          <w:tcPr>
            <w:tcW w:w="2880" w:type="dxa"/>
            <w:vAlign w:val="center"/>
          </w:tcPr>
          <w:p w14:paraId="54357FE6" w14:textId="77777777" w:rsidR="001D0255" w:rsidRPr="00AF382E" w:rsidRDefault="001D0255" w:rsidP="009C6BA1">
            <w:pPr>
              <w:keepNext/>
              <w:keepLines/>
              <w:spacing w:before="120"/>
              <w:ind w:right="-86"/>
              <w:jc w:val="center"/>
              <w:rPr>
                <w:bCs/>
                <w:sz w:val="20"/>
                <w:szCs w:val="20"/>
              </w:rPr>
            </w:pPr>
            <w:r w:rsidRPr="00AF382E">
              <w:rPr>
                <w:sz w:val="20"/>
                <w:szCs w:val="20"/>
              </w:rPr>
              <w:t>Recommended Initial Dosage and Maximum Dosage</w:t>
            </w:r>
          </w:p>
        </w:tc>
        <w:tc>
          <w:tcPr>
            <w:tcW w:w="2970" w:type="dxa"/>
            <w:vAlign w:val="center"/>
          </w:tcPr>
          <w:p w14:paraId="23787273" w14:textId="77777777" w:rsidR="001D0255" w:rsidRPr="00AF382E" w:rsidRDefault="001D0255" w:rsidP="009C6BA1">
            <w:pPr>
              <w:keepNext/>
              <w:keepLines/>
              <w:spacing w:before="120"/>
              <w:ind w:right="-86"/>
              <w:jc w:val="center"/>
              <w:rPr>
                <w:bCs/>
                <w:sz w:val="20"/>
                <w:szCs w:val="20"/>
              </w:rPr>
            </w:pPr>
            <w:r w:rsidRPr="00AF382E">
              <w:rPr>
                <w:bCs/>
                <w:sz w:val="20"/>
                <w:szCs w:val="20"/>
              </w:rPr>
              <w:t>Initial</w:t>
            </w:r>
          </w:p>
        </w:tc>
        <w:tc>
          <w:tcPr>
            <w:tcW w:w="1980" w:type="dxa"/>
            <w:vAlign w:val="center"/>
          </w:tcPr>
          <w:p w14:paraId="5ECB72BA" w14:textId="77777777" w:rsidR="001D0255" w:rsidRPr="00AF382E" w:rsidRDefault="001D0255" w:rsidP="009C6BA1">
            <w:pPr>
              <w:keepNext/>
              <w:keepLines/>
              <w:spacing w:before="120"/>
              <w:ind w:right="-86"/>
              <w:jc w:val="center"/>
              <w:rPr>
                <w:bCs/>
                <w:sz w:val="20"/>
                <w:szCs w:val="20"/>
              </w:rPr>
            </w:pPr>
            <w:r w:rsidRPr="00AF382E">
              <w:rPr>
                <w:bCs/>
                <w:sz w:val="20"/>
                <w:szCs w:val="20"/>
              </w:rPr>
              <w:t>Maximum</w:t>
            </w:r>
          </w:p>
        </w:tc>
      </w:tr>
      <w:tr w:rsidR="001D0255" w:rsidRPr="004D0824" w14:paraId="6136F190" w14:textId="77777777" w:rsidTr="009C6BA1">
        <w:tc>
          <w:tcPr>
            <w:tcW w:w="2178" w:type="dxa"/>
            <w:vAlign w:val="center"/>
          </w:tcPr>
          <w:p w14:paraId="366640BC" w14:textId="77777777" w:rsidR="001D0255" w:rsidRPr="00AF382E" w:rsidRDefault="001D0255" w:rsidP="009C6BA1">
            <w:pPr>
              <w:keepNext/>
              <w:keepLines/>
              <w:spacing w:before="60"/>
              <w:ind w:right="-86"/>
              <w:rPr>
                <w:bCs/>
                <w:sz w:val="20"/>
                <w:szCs w:val="20"/>
              </w:rPr>
            </w:pPr>
            <w:r w:rsidRPr="00AF382E">
              <w:rPr>
                <w:bCs/>
                <w:sz w:val="20"/>
                <w:szCs w:val="20"/>
              </w:rPr>
              <w:t>Birth to 2 years of age (including preterm and term neonates*)</w:t>
            </w:r>
          </w:p>
          <w:p w14:paraId="0BCE46D0" w14:textId="77777777" w:rsidR="001D0255" w:rsidRPr="00AF382E" w:rsidRDefault="001D0255" w:rsidP="009C6BA1">
            <w:pPr>
              <w:keepNext/>
              <w:keepLines/>
              <w:spacing w:before="60"/>
              <w:ind w:right="-86"/>
              <w:rPr>
                <w:bCs/>
                <w:i/>
                <w:iCs/>
                <w:sz w:val="20"/>
                <w:szCs w:val="20"/>
              </w:rPr>
            </w:pPr>
          </w:p>
        </w:tc>
        <w:tc>
          <w:tcPr>
            <w:tcW w:w="2880" w:type="dxa"/>
            <w:vAlign w:val="center"/>
          </w:tcPr>
          <w:p w14:paraId="037F5D3A" w14:textId="77777777" w:rsidR="001D0255" w:rsidRPr="00AF382E" w:rsidRDefault="001D0255" w:rsidP="009C6BA1">
            <w:pPr>
              <w:keepNext/>
              <w:keepLines/>
              <w:spacing w:before="60"/>
              <w:ind w:right="-86"/>
              <w:rPr>
                <w:bCs/>
                <w:sz w:val="20"/>
                <w:szCs w:val="20"/>
              </w:rPr>
            </w:pPr>
            <w:r w:rsidRPr="00AF382E">
              <w:rPr>
                <w:bCs/>
                <w:sz w:val="20"/>
                <w:szCs w:val="20"/>
              </w:rPr>
              <w:t>Initial 0.5 to 1 g/kg/day</w:t>
            </w:r>
          </w:p>
          <w:p w14:paraId="48282E5F" w14:textId="77777777" w:rsidR="001D0255" w:rsidRPr="00AF382E" w:rsidRDefault="001D0255" w:rsidP="009C6BA1">
            <w:pPr>
              <w:keepNext/>
              <w:keepLines/>
              <w:spacing w:before="60"/>
              <w:ind w:right="-86"/>
              <w:rPr>
                <w:bCs/>
                <w:sz w:val="20"/>
                <w:szCs w:val="20"/>
              </w:rPr>
            </w:pPr>
            <w:r w:rsidRPr="00AF382E">
              <w:rPr>
                <w:bCs/>
                <w:sz w:val="20"/>
                <w:szCs w:val="20"/>
              </w:rPr>
              <w:t>not to exceed 3 g/kg/day**</w:t>
            </w:r>
          </w:p>
        </w:tc>
        <w:tc>
          <w:tcPr>
            <w:tcW w:w="2970" w:type="dxa"/>
            <w:vAlign w:val="center"/>
          </w:tcPr>
          <w:p w14:paraId="4887C41C" w14:textId="77777777" w:rsidR="001D0255" w:rsidRPr="00AF382E" w:rsidRDefault="001D0255" w:rsidP="009C6BA1">
            <w:pPr>
              <w:keepNext/>
              <w:keepLines/>
              <w:spacing w:before="60"/>
              <w:ind w:right="-86"/>
              <w:rPr>
                <w:bCs/>
                <w:sz w:val="20"/>
                <w:szCs w:val="20"/>
              </w:rPr>
            </w:pPr>
            <w:r w:rsidRPr="00AF382E">
              <w:rPr>
                <w:bCs/>
                <w:sz w:val="20"/>
                <w:szCs w:val="20"/>
              </w:rPr>
              <w:t>0.1 to 0.2 mL/kg/hour for the first 15 to 30 minutes; gradually increase to the required rate after 30 minutes</w:t>
            </w:r>
          </w:p>
        </w:tc>
        <w:tc>
          <w:tcPr>
            <w:tcW w:w="1980" w:type="dxa"/>
            <w:vAlign w:val="center"/>
          </w:tcPr>
          <w:p w14:paraId="1B7B3898" w14:textId="77777777" w:rsidR="001D0255" w:rsidRPr="00AF382E" w:rsidRDefault="001D0255" w:rsidP="009C6BA1">
            <w:pPr>
              <w:keepNext/>
              <w:keepLines/>
              <w:spacing w:before="60"/>
              <w:ind w:right="-86"/>
              <w:rPr>
                <w:bCs/>
                <w:sz w:val="20"/>
                <w:szCs w:val="20"/>
              </w:rPr>
            </w:pPr>
            <w:r w:rsidRPr="00AF382E">
              <w:rPr>
                <w:bCs/>
                <w:sz w:val="20"/>
                <w:szCs w:val="20"/>
              </w:rPr>
              <w:t>0.75 mL/kg/hour</w:t>
            </w:r>
          </w:p>
        </w:tc>
      </w:tr>
      <w:tr w:rsidR="001D0255" w:rsidRPr="004D0824" w14:paraId="193D7B44" w14:textId="77777777" w:rsidTr="009C6BA1">
        <w:trPr>
          <w:trHeight w:val="1502"/>
        </w:trPr>
        <w:tc>
          <w:tcPr>
            <w:tcW w:w="2178" w:type="dxa"/>
            <w:vAlign w:val="center"/>
          </w:tcPr>
          <w:p w14:paraId="13DE130F" w14:textId="77777777" w:rsidR="001D0255" w:rsidRPr="00AF382E" w:rsidRDefault="001D0255" w:rsidP="009C6BA1">
            <w:pPr>
              <w:keepNext/>
              <w:keepLines/>
              <w:spacing w:before="60"/>
              <w:ind w:right="-86"/>
              <w:rPr>
                <w:bCs/>
                <w:sz w:val="20"/>
                <w:szCs w:val="20"/>
              </w:rPr>
            </w:pPr>
            <w:r w:rsidRPr="00AF382E">
              <w:rPr>
                <w:bCs/>
                <w:sz w:val="20"/>
                <w:szCs w:val="20"/>
              </w:rPr>
              <w:t>Pediatric patients 2 to &lt;12 years of age</w:t>
            </w:r>
          </w:p>
        </w:tc>
        <w:tc>
          <w:tcPr>
            <w:tcW w:w="2880" w:type="dxa"/>
            <w:vAlign w:val="center"/>
          </w:tcPr>
          <w:p w14:paraId="498DCF96" w14:textId="77777777" w:rsidR="001D0255" w:rsidRPr="00AF382E" w:rsidRDefault="001D0255" w:rsidP="009C6BA1">
            <w:pPr>
              <w:keepNext/>
              <w:keepLines/>
              <w:tabs>
                <w:tab w:val="left" w:pos="1682"/>
              </w:tabs>
              <w:spacing w:before="60"/>
              <w:ind w:right="-86"/>
              <w:rPr>
                <w:bCs/>
                <w:sz w:val="20"/>
                <w:szCs w:val="20"/>
              </w:rPr>
            </w:pPr>
            <w:r w:rsidRPr="00AF382E">
              <w:rPr>
                <w:bCs/>
                <w:sz w:val="20"/>
                <w:szCs w:val="20"/>
              </w:rPr>
              <w:t>Initial 1 to 2 g/kg/day</w:t>
            </w:r>
          </w:p>
          <w:p w14:paraId="60617C9D" w14:textId="77777777" w:rsidR="001D0255" w:rsidRPr="00AF382E" w:rsidRDefault="001D0255" w:rsidP="009C6BA1">
            <w:pPr>
              <w:keepNext/>
              <w:keepLines/>
              <w:tabs>
                <w:tab w:val="left" w:pos="1682"/>
              </w:tabs>
              <w:spacing w:before="60"/>
              <w:ind w:right="-86"/>
              <w:rPr>
                <w:bCs/>
                <w:sz w:val="20"/>
                <w:szCs w:val="20"/>
              </w:rPr>
            </w:pPr>
            <w:r w:rsidRPr="00AF382E">
              <w:rPr>
                <w:bCs/>
                <w:sz w:val="20"/>
                <w:szCs w:val="20"/>
              </w:rPr>
              <w:t>not to exceed 3 g/kg/day**</w:t>
            </w:r>
          </w:p>
        </w:tc>
        <w:tc>
          <w:tcPr>
            <w:tcW w:w="2970" w:type="dxa"/>
            <w:vAlign w:val="center"/>
          </w:tcPr>
          <w:p w14:paraId="16F68C0C" w14:textId="77777777" w:rsidR="001D0255" w:rsidRPr="00AF382E" w:rsidRDefault="001D0255" w:rsidP="009C6BA1">
            <w:pPr>
              <w:keepNext/>
              <w:keepLines/>
              <w:spacing w:before="60"/>
              <w:ind w:right="-86"/>
              <w:rPr>
                <w:bCs/>
                <w:sz w:val="20"/>
                <w:szCs w:val="20"/>
              </w:rPr>
            </w:pPr>
            <w:r w:rsidRPr="00AF382E">
              <w:rPr>
                <w:bCs/>
                <w:sz w:val="20"/>
                <w:szCs w:val="20"/>
              </w:rPr>
              <w:t>0.2 to 0.4 mL/kg/hour for the first 15 to 30 minutes; gradually increase to the required rate after 30 minutes</w:t>
            </w:r>
          </w:p>
        </w:tc>
        <w:tc>
          <w:tcPr>
            <w:tcW w:w="1980" w:type="dxa"/>
            <w:vAlign w:val="center"/>
          </w:tcPr>
          <w:p w14:paraId="0B676940" w14:textId="77777777" w:rsidR="001D0255" w:rsidRPr="00AF382E" w:rsidRDefault="001D0255" w:rsidP="009C6BA1">
            <w:pPr>
              <w:keepNext/>
              <w:keepLines/>
              <w:spacing w:before="60"/>
              <w:ind w:right="-86"/>
              <w:rPr>
                <w:bCs/>
                <w:sz w:val="20"/>
                <w:szCs w:val="20"/>
              </w:rPr>
            </w:pPr>
            <w:r w:rsidRPr="00AF382E">
              <w:rPr>
                <w:bCs/>
                <w:sz w:val="20"/>
                <w:szCs w:val="20"/>
              </w:rPr>
              <w:t>0.75 mL/kg/hour</w:t>
            </w:r>
          </w:p>
        </w:tc>
      </w:tr>
      <w:tr w:rsidR="001D0255" w:rsidRPr="004D0824" w14:paraId="5BB7A932" w14:textId="77777777" w:rsidTr="009C6BA1">
        <w:tc>
          <w:tcPr>
            <w:tcW w:w="2178" w:type="dxa"/>
            <w:vAlign w:val="center"/>
          </w:tcPr>
          <w:p w14:paraId="66AEB053" w14:textId="77777777" w:rsidR="001D0255" w:rsidRPr="00AF382E" w:rsidRDefault="001D0255" w:rsidP="009C6BA1">
            <w:pPr>
              <w:keepNext/>
              <w:keepLines/>
              <w:spacing w:before="60"/>
              <w:ind w:right="-86"/>
              <w:rPr>
                <w:bCs/>
                <w:sz w:val="20"/>
                <w:szCs w:val="20"/>
              </w:rPr>
            </w:pPr>
            <w:r w:rsidRPr="00AF382E">
              <w:rPr>
                <w:bCs/>
                <w:sz w:val="20"/>
                <w:szCs w:val="20"/>
              </w:rPr>
              <w:t>Pediatric patients 12 to 17 years of age</w:t>
            </w:r>
          </w:p>
        </w:tc>
        <w:tc>
          <w:tcPr>
            <w:tcW w:w="2880" w:type="dxa"/>
            <w:vAlign w:val="center"/>
          </w:tcPr>
          <w:p w14:paraId="56AF4B13" w14:textId="77777777" w:rsidR="001D0255" w:rsidRPr="00AF382E" w:rsidRDefault="001D0255" w:rsidP="009C6BA1">
            <w:pPr>
              <w:keepNext/>
              <w:keepLines/>
              <w:tabs>
                <w:tab w:val="left" w:pos="1682"/>
              </w:tabs>
              <w:spacing w:before="60"/>
              <w:ind w:right="-86"/>
              <w:rPr>
                <w:bCs/>
                <w:sz w:val="20"/>
                <w:szCs w:val="20"/>
              </w:rPr>
            </w:pPr>
            <w:r w:rsidRPr="00AF382E">
              <w:rPr>
                <w:bCs/>
                <w:sz w:val="20"/>
                <w:szCs w:val="20"/>
              </w:rPr>
              <w:t>Initial 1 g/kg/day</w:t>
            </w:r>
          </w:p>
          <w:p w14:paraId="1DDFF976" w14:textId="77777777" w:rsidR="001D0255" w:rsidRPr="00AF382E" w:rsidRDefault="001D0255" w:rsidP="009C6BA1">
            <w:pPr>
              <w:keepNext/>
              <w:keepLines/>
              <w:tabs>
                <w:tab w:val="left" w:pos="1682"/>
              </w:tabs>
              <w:spacing w:before="60"/>
              <w:ind w:right="-86"/>
              <w:rPr>
                <w:bCs/>
                <w:sz w:val="20"/>
                <w:szCs w:val="20"/>
              </w:rPr>
            </w:pPr>
            <w:r w:rsidRPr="00AF382E">
              <w:rPr>
                <w:bCs/>
                <w:sz w:val="20"/>
                <w:szCs w:val="20"/>
              </w:rPr>
              <w:t>not to exceed 2.5 g/kg/day**</w:t>
            </w:r>
          </w:p>
        </w:tc>
        <w:tc>
          <w:tcPr>
            <w:tcW w:w="2970" w:type="dxa"/>
            <w:vAlign w:val="center"/>
          </w:tcPr>
          <w:p w14:paraId="3471EA60" w14:textId="77777777" w:rsidR="001D0255" w:rsidRPr="00AF382E" w:rsidRDefault="001D0255" w:rsidP="009C6BA1">
            <w:pPr>
              <w:keepNext/>
              <w:keepLines/>
              <w:spacing w:before="60"/>
              <w:ind w:right="-86"/>
              <w:rPr>
                <w:bCs/>
                <w:sz w:val="20"/>
                <w:szCs w:val="20"/>
              </w:rPr>
            </w:pPr>
            <w:r w:rsidRPr="00AF382E">
              <w:rPr>
                <w:bCs/>
                <w:sz w:val="20"/>
                <w:szCs w:val="20"/>
              </w:rPr>
              <w:t>0.2 to 0.4 mL/kg/hour for the first 15 to 30 minutes; gradually increase to the required rate after 30 minutes</w:t>
            </w:r>
          </w:p>
        </w:tc>
        <w:tc>
          <w:tcPr>
            <w:tcW w:w="1980" w:type="dxa"/>
            <w:vAlign w:val="center"/>
          </w:tcPr>
          <w:p w14:paraId="11393BCC" w14:textId="77777777" w:rsidR="001D0255" w:rsidRPr="00AF382E" w:rsidRDefault="001D0255" w:rsidP="009C6BA1">
            <w:pPr>
              <w:keepNext/>
              <w:keepLines/>
              <w:spacing w:before="60"/>
              <w:ind w:right="-86"/>
              <w:rPr>
                <w:bCs/>
                <w:sz w:val="20"/>
                <w:szCs w:val="20"/>
              </w:rPr>
            </w:pPr>
            <w:r w:rsidRPr="00AF382E">
              <w:rPr>
                <w:bCs/>
                <w:sz w:val="20"/>
                <w:szCs w:val="20"/>
              </w:rPr>
              <w:t>0.75 mL/kg/hour</w:t>
            </w:r>
          </w:p>
        </w:tc>
      </w:tr>
      <w:tr w:rsidR="001D0255" w:rsidRPr="004D0824" w14:paraId="2919736B" w14:textId="77777777" w:rsidTr="009C6BA1">
        <w:tc>
          <w:tcPr>
            <w:tcW w:w="2178" w:type="dxa"/>
            <w:vAlign w:val="center"/>
          </w:tcPr>
          <w:p w14:paraId="2FE2C3D3" w14:textId="77777777" w:rsidR="001D0255" w:rsidRPr="00AF382E" w:rsidRDefault="001D0255" w:rsidP="009C6BA1">
            <w:pPr>
              <w:keepNext/>
              <w:keepLines/>
              <w:spacing w:before="60"/>
              <w:ind w:right="-86"/>
              <w:rPr>
                <w:bCs/>
                <w:sz w:val="20"/>
                <w:szCs w:val="20"/>
              </w:rPr>
            </w:pPr>
            <w:r w:rsidRPr="00AF382E">
              <w:rPr>
                <w:bCs/>
                <w:sz w:val="20"/>
                <w:szCs w:val="20"/>
              </w:rPr>
              <w:t xml:space="preserve">Adults </w:t>
            </w:r>
          </w:p>
        </w:tc>
        <w:tc>
          <w:tcPr>
            <w:tcW w:w="2880" w:type="dxa"/>
            <w:vAlign w:val="center"/>
          </w:tcPr>
          <w:p w14:paraId="297F3545" w14:textId="77777777" w:rsidR="001D0255" w:rsidRPr="00AF382E" w:rsidRDefault="001D0255" w:rsidP="009C6BA1">
            <w:pPr>
              <w:keepNext/>
              <w:keepLines/>
              <w:spacing w:before="60"/>
              <w:ind w:right="-86"/>
              <w:rPr>
                <w:bCs/>
                <w:sz w:val="20"/>
                <w:szCs w:val="20"/>
              </w:rPr>
            </w:pPr>
            <w:r w:rsidRPr="00AF382E">
              <w:rPr>
                <w:bCs/>
                <w:sz w:val="20"/>
                <w:szCs w:val="20"/>
              </w:rPr>
              <w:t>1 to 2 g/kg/day</w:t>
            </w:r>
          </w:p>
          <w:p w14:paraId="102B53B6" w14:textId="77777777" w:rsidR="001D0255" w:rsidRPr="00AF382E" w:rsidRDefault="001D0255" w:rsidP="009C6BA1">
            <w:pPr>
              <w:keepNext/>
              <w:keepLines/>
              <w:spacing w:before="60"/>
              <w:ind w:right="-86"/>
              <w:rPr>
                <w:bCs/>
                <w:sz w:val="20"/>
                <w:szCs w:val="20"/>
              </w:rPr>
            </w:pPr>
            <w:r w:rsidRPr="00AF382E">
              <w:rPr>
                <w:bCs/>
                <w:sz w:val="20"/>
                <w:szCs w:val="20"/>
              </w:rPr>
              <w:t>not to exceed 2.5 g/kg/day**</w:t>
            </w:r>
          </w:p>
        </w:tc>
        <w:tc>
          <w:tcPr>
            <w:tcW w:w="2970" w:type="dxa"/>
            <w:vAlign w:val="center"/>
          </w:tcPr>
          <w:p w14:paraId="69373712" w14:textId="77777777" w:rsidR="001D0255" w:rsidRPr="00AF382E" w:rsidRDefault="001D0255" w:rsidP="009C6BA1">
            <w:pPr>
              <w:keepNext/>
              <w:keepLines/>
              <w:spacing w:before="60"/>
              <w:ind w:right="-86"/>
              <w:rPr>
                <w:bCs/>
                <w:sz w:val="20"/>
                <w:szCs w:val="20"/>
              </w:rPr>
            </w:pPr>
            <w:r w:rsidRPr="00AF382E">
              <w:rPr>
                <w:bCs/>
                <w:sz w:val="20"/>
                <w:szCs w:val="20"/>
              </w:rPr>
              <w:t>0.2 mL/kg/hour for the first 15 to 30 minutes; gradually increase to the required rate after 30 minutes</w:t>
            </w:r>
          </w:p>
        </w:tc>
        <w:tc>
          <w:tcPr>
            <w:tcW w:w="1980" w:type="dxa"/>
            <w:vAlign w:val="center"/>
          </w:tcPr>
          <w:p w14:paraId="06489219" w14:textId="77777777" w:rsidR="001D0255" w:rsidRPr="00AF382E" w:rsidRDefault="001D0255" w:rsidP="009C6BA1">
            <w:pPr>
              <w:keepNext/>
              <w:keepLines/>
              <w:spacing w:before="60"/>
              <w:ind w:right="-86"/>
              <w:rPr>
                <w:bCs/>
                <w:sz w:val="20"/>
                <w:szCs w:val="20"/>
              </w:rPr>
            </w:pPr>
            <w:r w:rsidRPr="00AF382E">
              <w:rPr>
                <w:bCs/>
                <w:sz w:val="20"/>
                <w:szCs w:val="20"/>
              </w:rPr>
              <w:t>0.5 mL/kg/hour</w:t>
            </w:r>
          </w:p>
        </w:tc>
      </w:tr>
    </w:tbl>
    <w:p w14:paraId="506D9B66" w14:textId="77777777" w:rsidR="001D0255" w:rsidRDefault="001D0255" w:rsidP="001D0255">
      <w:pPr>
        <w:pStyle w:val="FootnoteText"/>
        <w:rPr>
          <w:rFonts w:cstheme="minorHAnsi"/>
          <w:sz w:val="18"/>
          <w:szCs w:val="18"/>
        </w:rPr>
      </w:pPr>
      <w:r w:rsidRPr="00234713">
        <w:rPr>
          <w:rFonts w:cstheme="minorHAnsi"/>
          <w:sz w:val="18"/>
          <w:szCs w:val="18"/>
        </w:rPr>
        <w:t>*The neonatal period is defined as including term, post-term, and preterm newborn infants. The neonatal period for term and post-term infants is the day of birth plus 27 days. For preterm infants, the neonatal period is defined as the day of birth through the expected age of delivery plus 27 days (i.e., 44 weeks post-menstrual age).</w:t>
      </w:r>
    </w:p>
    <w:p w14:paraId="17EF757E" w14:textId="77777777" w:rsidR="001D0255" w:rsidRPr="00234713" w:rsidRDefault="001D0255" w:rsidP="001D0255">
      <w:pPr>
        <w:pStyle w:val="FootnoteText"/>
        <w:rPr>
          <w:rFonts w:cstheme="minorHAnsi"/>
          <w:sz w:val="18"/>
          <w:szCs w:val="18"/>
        </w:rPr>
      </w:pPr>
      <w:r>
        <w:rPr>
          <w:rFonts w:cstheme="minorHAnsi"/>
          <w:sz w:val="18"/>
          <w:szCs w:val="18"/>
        </w:rPr>
        <w:t>** Daily dosage should not exceed a maximum of 60% of total energy requirements</w:t>
      </w:r>
      <w:r w:rsidRPr="00234713">
        <w:rPr>
          <w:rFonts w:cstheme="minorHAnsi"/>
          <w:sz w:val="18"/>
          <w:szCs w:val="18"/>
        </w:rPr>
        <w:t xml:space="preserve"> </w:t>
      </w:r>
    </w:p>
    <w:p w14:paraId="587B29A8" w14:textId="77777777" w:rsidR="001D0255" w:rsidRDefault="001D0255" w:rsidP="001D0255">
      <w:pPr>
        <w:jc w:val="both"/>
        <w:rPr>
          <w:rFonts w:eastAsia="Times New Roman" w:cs="Times New Roman"/>
          <w:b/>
          <w:bCs/>
          <w:sz w:val="20"/>
          <w:szCs w:val="20"/>
        </w:rPr>
      </w:pPr>
    </w:p>
    <w:p w14:paraId="07F9E56E" w14:textId="77777777" w:rsidR="001D0255" w:rsidRPr="007E7D4F" w:rsidRDefault="001D0255" w:rsidP="001D0255">
      <w:pPr>
        <w:jc w:val="both"/>
        <w:rPr>
          <w:rFonts w:eastAsia="Times New Roman" w:cs="Times New Roman"/>
          <w:b/>
          <w:bCs/>
          <w:sz w:val="20"/>
          <w:szCs w:val="20"/>
        </w:rPr>
      </w:pPr>
      <w:r w:rsidRPr="007E7D4F">
        <w:rPr>
          <w:rFonts w:eastAsia="Times New Roman" w:cs="Times New Roman"/>
          <w:b/>
          <w:bCs/>
          <w:sz w:val="20"/>
          <w:szCs w:val="20"/>
        </w:rPr>
        <w:t>CONTRAINDICATIONS</w:t>
      </w:r>
    </w:p>
    <w:p w14:paraId="18E366CF" w14:textId="77777777" w:rsidR="001D0255" w:rsidRPr="005C274B" w:rsidRDefault="001D0255" w:rsidP="001D0255">
      <w:pPr>
        <w:pStyle w:val="ListParagraph"/>
        <w:numPr>
          <w:ilvl w:val="0"/>
          <w:numId w:val="8"/>
        </w:numPr>
        <w:spacing w:after="0" w:line="240" w:lineRule="auto"/>
        <w:jc w:val="both"/>
        <w:rPr>
          <w:rFonts w:eastAsia="Times New Roman" w:cs="Times New Roman"/>
          <w:sz w:val="20"/>
          <w:szCs w:val="20"/>
        </w:rPr>
      </w:pPr>
      <w:r w:rsidRPr="005C274B">
        <w:rPr>
          <w:rFonts w:eastAsia="Times New Roman" w:cs="Times New Roman"/>
          <w:sz w:val="20"/>
          <w:szCs w:val="20"/>
        </w:rPr>
        <w:t>Known hypersensitivity to fish, egg, soybean, peanut or to any of the active or inactive ingredients in SMOFlipid.</w:t>
      </w:r>
    </w:p>
    <w:p w14:paraId="66EBCF5D" w14:textId="77777777" w:rsidR="001D0255" w:rsidRPr="005C274B" w:rsidRDefault="001D0255" w:rsidP="001D0255">
      <w:pPr>
        <w:pStyle w:val="ListParagraph"/>
        <w:numPr>
          <w:ilvl w:val="0"/>
          <w:numId w:val="8"/>
        </w:numPr>
        <w:spacing w:after="0" w:line="240" w:lineRule="auto"/>
        <w:jc w:val="both"/>
        <w:rPr>
          <w:rFonts w:eastAsia="Times New Roman" w:cs="Times New Roman"/>
          <w:sz w:val="20"/>
          <w:szCs w:val="20"/>
        </w:rPr>
      </w:pPr>
      <w:r w:rsidRPr="005C274B">
        <w:rPr>
          <w:rFonts w:eastAsia="Times New Roman" w:cs="Times New Roman"/>
          <w:sz w:val="20"/>
          <w:szCs w:val="20"/>
        </w:rPr>
        <w:t>Severe disorders of lipid metabolism characterized by hypertriglyceridemia (serum triglycerides &gt;1,000 mg/dL).</w:t>
      </w:r>
    </w:p>
    <w:p w14:paraId="7F7F1D84" w14:textId="77777777" w:rsidR="001D0255" w:rsidRPr="007E7D4F" w:rsidRDefault="001D0255" w:rsidP="001D0255">
      <w:pPr>
        <w:jc w:val="both"/>
        <w:rPr>
          <w:rFonts w:eastAsia="Times New Roman" w:cs="Times New Roman"/>
          <w:sz w:val="20"/>
          <w:szCs w:val="20"/>
        </w:rPr>
      </w:pPr>
    </w:p>
    <w:p w14:paraId="4A9C3F06" w14:textId="77777777" w:rsidR="001D0255" w:rsidRPr="007B717C" w:rsidRDefault="001D0255" w:rsidP="001D0255">
      <w:pPr>
        <w:jc w:val="both"/>
        <w:rPr>
          <w:rFonts w:eastAsia="Times New Roman" w:cs="Times New Roman"/>
          <w:b/>
          <w:bCs/>
          <w:sz w:val="20"/>
          <w:szCs w:val="20"/>
        </w:rPr>
      </w:pPr>
      <w:r w:rsidRPr="007B717C">
        <w:rPr>
          <w:rFonts w:eastAsia="Times New Roman" w:cs="Times New Roman"/>
          <w:b/>
          <w:bCs/>
          <w:sz w:val="20"/>
          <w:szCs w:val="20"/>
        </w:rPr>
        <w:t>WARNINGS AND PRECAUTIONS</w:t>
      </w:r>
    </w:p>
    <w:p w14:paraId="672A9C93" w14:textId="77777777" w:rsidR="001D0255" w:rsidRPr="00DD12A4" w:rsidRDefault="001D0255" w:rsidP="001D0255">
      <w:pPr>
        <w:pStyle w:val="FPIHeading2"/>
        <w:numPr>
          <w:ilvl w:val="0"/>
          <w:numId w:val="10"/>
        </w:numPr>
        <w:spacing w:line="240" w:lineRule="auto"/>
        <w:ind w:left="360"/>
        <w:rPr>
          <w:rFonts w:asciiTheme="minorHAnsi" w:hAnsiTheme="minorHAnsi" w:cstheme="minorHAnsi"/>
          <w:sz w:val="20"/>
          <w:szCs w:val="20"/>
        </w:rPr>
      </w:pPr>
      <w:r w:rsidRPr="00DD12A4">
        <w:rPr>
          <w:rFonts w:asciiTheme="minorHAnsi" w:hAnsiTheme="minorHAnsi" w:cstheme="minorHAnsi"/>
          <w:sz w:val="20"/>
          <w:szCs w:val="20"/>
        </w:rPr>
        <w:lastRenderedPageBreak/>
        <w:t>Clinical Decompensation with Rapid Infusion of Intravenous Lipid Emulsion in Neonates and Infants</w:t>
      </w:r>
      <w:r>
        <w:rPr>
          <w:rFonts w:asciiTheme="minorHAnsi" w:hAnsiTheme="minorHAnsi" w:cstheme="minorHAnsi"/>
          <w:sz w:val="20"/>
          <w:szCs w:val="20"/>
        </w:rPr>
        <w:t>.</w:t>
      </w:r>
      <w:r w:rsidRPr="00DD12A4">
        <w:rPr>
          <w:rFonts w:asciiTheme="minorHAnsi" w:hAnsiTheme="minorHAnsi" w:cstheme="minorHAnsi"/>
          <w:sz w:val="20"/>
          <w:szCs w:val="20"/>
        </w:rPr>
        <w:t xml:space="preserve"> </w:t>
      </w:r>
    </w:p>
    <w:p w14:paraId="68C5939C" w14:textId="77777777" w:rsidR="001D0255" w:rsidRPr="00DD12A4" w:rsidRDefault="001D0255" w:rsidP="001D0255">
      <w:pPr>
        <w:pStyle w:val="FPIBodyText"/>
        <w:ind w:left="360"/>
        <w:rPr>
          <w:rFonts w:asciiTheme="minorHAnsi" w:hAnsiTheme="minorHAnsi" w:cstheme="minorHAnsi"/>
          <w:sz w:val="20"/>
          <w:szCs w:val="20"/>
        </w:rPr>
      </w:pPr>
      <w:r w:rsidRPr="00DD12A4">
        <w:rPr>
          <w:rFonts w:asciiTheme="minorHAnsi" w:hAnsiTheme="minorHAnsi" w:cstheme="minorHAnsi"/>
          <w:sz w:val="20"/>
          <w:szCs w:val="20"/>
        </w:rPr>
        <w:t xml:space="preserve">In the </w:t>
      </w:r>
      <w:proofErr w:type="spellStart"/>
      <w:r w:rsidRPr="00DD12A4">
        <w:rPr>
          <w:rFonts w:asciiTheme="minorHAnsi" w:hAnsiTheme="minorHAnsi" w:cstheme="minorHAnsi"/>
          <w:sz w:val="20"/>
          <w:szCs w:val="20"/>
        </w:rPr>
        <w:t>postmarketing</w:t>
      </w:r>
      <w:proofErr w:type="spellEnd"/>
      <w:r w:rsidRPr="00DD12A4">
        <w:rPr>
          <w:rFonts w:asciiTheme="minorHAnsi" w:hAnsiTheme="minorHAnsi" w:cstheme="minorHAnsi"/>
          <w:sz w:val="20"/>
          <w:szCs w:val="20"/>
        </w:rPr>
        <w:t xml:space="preserve"> setting, serious adverse reactions including acute respiratory distress, metabolic acidosis, and death have been reported in neonates and infants after rapid infusion of intravenous lipid emulsions. Hypertriglyceridemia was commonly reported.</w:t>
      </w:r>
    </w:p>
    <w:p w14:paraId="7EBCAA33" w14:textId="77777777" w:rsidR="001D0255" w:rsidRDefault="001D0255" w:rsidP="001D0255">
      <w:pPr>
        <w:pStyle w:val="FPIBodyText"/>
        <w:ind w:left="360"/>
        <w:rPr>
          <w:rFonts w:asciiTheme="minorHAnsi" w:hAnsiTheme="minorHAnsi" w:cstheme="minorHAnsi"/>
          <w:sz w:val="20"/>
          <w:szCs w:val="20"/>
        </w:rPr>
      </w:pPr>
    </w:p>
    <w:p w14:paraId="26DA6143" w14:textId="77777777" w:rsidR="001D0255" w:rsidRDefault="001D0255" w:rsidP="001D0255">
      <w:pPr>
        <w:pStyle w:val="FPIBodyText"/>
        <w:ind w:left="360"/>
        <w:rPr>
          <w:rFonts w:asciiTheme="minorHAnsi" w:hAnsiTheme="minorHAnsi" w:cstheme="minorHAnsi"/>
          <w:sz w:val="20"/>
          <w:szCs w:val="20"/>
        </w:rPr>
      </w:pPr>
      <w:r w:rsidRPr="00DD12A4">
        <w:rPr>
          <w:rFonts w:asciiTheme="minorHAnsi" w:hAnsiTheme="minorHAnsi" w:cstheme="minorHAnsi"/>
          <w:sz w:val="20"/>
          <w:szCs w:val="20"/>
        </w:rPr>
        <w:t>Strictly adhere to the recommended total daily dosage; the hourly infusion rate should not exceed 0.75 mL/kg/hour</w:t>
      </w:r>
      <w:r>
        <w:rPr>
          <w:rFonts w:asciiTheme="minorHAnsi" w:hAnsiTheme="minorHAnsi" w:cstheme="minorHAnsi"/>
          <w:sz w:val="20"/>
          <w:szCs w:val="20"/>
        </w:rPr>
        <w:t>.</w:t>
      </w:r>
    </w:p>
    <w:p w14:paraId="22D20F33" w14:textId="77777777" w:rsidR="001D0255" w:rsidRDefault="001D0255" w:rsidP="001D0255">
      <w:pPr>
        <w:pStyle w:val="FPIBodyText"/>
        <w:ind w:left="360"/>
        <w:rPr>
          <w:rFonts w:asciiTheme="minorHAnsi" w:hAnsiTheme="minorHAnsi" w:cstheme="minorHAnsi"/>
          <w:sz w:val="20"/>
          <w:szCs w:val="20"/>
        </w:rPr>
      </w:pPr>
    </w:p>
    <w:p w14:paraId="6F9DD26B" w14:textId="77777777" w:rsidR="001D0255" w:rsidRPr="00DD12A4" w:rsidRDefault="001D0255" w:rsidP="001D0255">
      <w:pPr>
        <w:pStyle w:val="FPIBodyText"/>
        <w:ind w:left="360"/>
        <w:rPr>
          <w:rFonts w:asciiTheme="minorHAnsi" w:hAnsiTheme="minorHAnsi" w:cstheme="minorHAnsi"/>
          <w:sz w:val="20"/>
          <w:szCs w:val="20"/>
        </w:rPr>
      </w:pPr>
      <w:r w:rsidRPr="00DD12A4">
        <w:rPr>
          <w:rFonts w:asciiTheme="minorHAnsi" w:hAnsiTheme="minorHAnsi" w:cstheme="minorHAnsi"/>
          <w:sz w:val="20"/>
          <w:szCs w:val="20"/>
        </w:rPr>
        <w:t xml:space="preserve">Preterm and small for gestational age infants have poor clearance of intravenous lipid emulsion and increased free fatty acid plasma levels following lipid emulsion infusion. </w:t>
      </w:r>
    </w:p>
    <w:p w14:paraId="149E4A3C" w14:textId="77777777" w:rsidR="001D0255" w:rsidRDefault="001D0255" w:rsidP="001D0255">
      <w:pPr>
        <w:pStyle w:val="FPIBodyText"/>
        <w:rPr>
          <w:rFonts w:asciiTheme="minorHAnsi" w:hAnsiTheme="minorHAnsi" w:cstheme="minorHAnsi"/>
          <w:sz w:val="20"/>
          <w:szCs w:val="20"/>
        </w:rPr>
      </w:pPr>
    </w:p>
    <w:p w14:paraId="1792A0EA" w14:textId="77777777" w:rsidR="001D0255" w:rsidRDefault="001D0255" w:rsidP="001D0255">
      <w:pPr>
        <w:pStyle w:val="FPIBodyText"/>
        <w:ind w:left="360"/>
        <w:rPr>
          <w:rFonts w:asciiTheme="minorHAnsi" w:hAnsiTheme="minorHAnsi" w:cstheme="minorHAnsi"/>
          <w:sz w:val="20"/>
          <w:szCs w:val="20"/>
        </w:rPr>
      </w:pPr>
      <w:r w:rsidRPr="00DD12A4">
        <w:rPr>
          <w:rFonts w:asciiTheme="minorHAnsi" w:hAnsiTheme="minorHAnsi" w:cstheme="minorHAnsi"/>
          <w:sz w:val="20"/>
          <w:szCs w:val="20"/>
        </w:rPr>
        <w:t xml:space="preserve">Carefully monitor the infant’s ability to eliminate the infused lipids from the circulation (e.g., measure serum triglycerides and/or plasma free fatty acid levels).  If signs of poor clearance of lipids from the circulation occur, stop the </w:t>
      </w:r>
      <w:proofErr w:type="gramStart"/>
      <w:r w:rsidRPr="00DD12A4">
        <w:rPr>
          <w:rFonts w:asciiTheme="minorHAnsi" w:hAnsiTheme="minorHAnsi" w:cstheme="minorHAnsi"/>
          <w:sz w:val="20"/>
          <w:szCs w:val="20"/>
        </w:rPr>
        <w:t>infusion</w:t>
      </w:r>
      <w:proofErr w:type="gramEnd"/>
      <w:r w:rsidRPr="00DD12A4">
        <w:rPr>
          <w:rFonts w:asciiTheme="minorHAnsi" w:hAnsiTheme="minorHAnsi" w:cstheme="minorHAnsi"/>
          <w:sz w:val="20"/>
          <w:szCs w:val="20"/>
        </w:rPr>
        <w:t xml:space="preserve"> and initiate a medical evaluation</w:t>
      </w:r>
      <w:r>
        <w:rPr>
          <w:rFonts w:asciiTheme="minorHAnsi" w:hAnsiTheme="minorHAnsi" w:cstheme="minorHAnsi"/>
          <w:i/>
          <w:iCs/>
          <w:sz w:val="20"/>
          <w:szCs w:val="20"/>
        </w:rPr>
        <w:t>.</w:t>
      </w:r>
    </w:p>
    <w:p w14:paraId="6F33DE90" w14:textId="77777777" w:rsidR="001D0255" w:rsidRPr="00DD12A4" w:rsidRDefault="001D0255" w:rsidP="001D0255">
      <w:pPr>
        <w:pStyle w:val="FPIBodyText"/>
        <w:rPr>
          <w:rFonts w:asciiTheme="minorHAnsi" w:hAnsiTheme="minorHAnsi" w:cstheme="minorHAnsi"/>
          <w:sz w:val="20"/>
          <w:szCs w:val="20"/>
        </w:rPr>
      </w:pPr>
    </w:p>
    <w:p w14:paraId="33EE24F0" w14:textId="77777777" w:rsidR="001D0255" w:rsidRDefault="001D0255" w:rsidP="001D0255">
      <w:pPr>
        <w:pStyle w:val="ListParagraph"/>
        <w:numPr>
          <w:ilvl w:val="0"/>
          <w:numId w:val="9"/>
        </w:numPr>
        <w:autoSpaceDE w:val="0"/>
        <w:autoSpaceDN w:val="0"/>
        <w:adjustRightInd w:val="0"/>
        <w:spacing w:after="0" w:line="240" w:lineRule="auto"/>
        <w:jc w:val="both"/>
        <w:rPr>
          <w:rFonts w:cs="Times New Roman"/>
          <w:sz w:val="20"/>
          <w:szCs w:val="20"/>
        </w:rPr>
      </w:pPr>
      <w:r>
        <w:rPr>
          <w:rFonts w:cs="Times New Roman"/>
          <w:sz w:val="20"/>
          <w:szCs w:val="20"/>
        </w:rPr>
        <w:t xml:space="preserve">Parenteral Nutrition-Associated Liver Disease and Other Hepatobiliary Disorders. </w:t>
      </w:r>
    </w:p>
    <w:p w14:paraId="520BD0F2" w14:textId="77777777" w:rsidR="001D0255" w:rsidRPr="00F177EB" w:rsidRDefault="001D0255" w:rsidP="001D0255">
      <w:pPr>
        <w:pStyle w:val="ListParagraph"/>
        <w:autoSpaceDE w:val="0"/>
        <w:autoSpaceDN w:val="0"/>
        <w:adjustRightInd w:val="0"/>
        <w:spacing w:after="0" w:line="240" w:lineRule="auto"/>
        <w:ind w:left="360"/>
        <w:jc w:val="both"/>
        <w:rPr>
          <w:rFonts w:cs="Times New Roman"/>
          <w:sz w:val="20"/>
          <w:szCs w:val="20"/>
        </w:rPr>
      </w:pPr>
      <w:r w:rsidRPr="00AF382E">
        <w:rPr>
          <w:rFonts w:cs="Times New Roman"/>
          <w:sz w:val="20"/>
          <w:szCs w:val="20"/>
          <w:u w:val="single"/>
        </w:rPr>
        <w:t>Risk of Parenteral Nutrition-Associated Liver Disease (PNALD</w:t>
      </w:r>
      <w:r w:rsidRPr="00F177EB">
        <w:rPr>
          <w:rFonts w:cs="Times New Roman"/>
          <w:sz w:val="20"/>
          <w:szCs w:val="20"/>
        </w:rPr>
        <w:t>):  PNALD, or Intestinal failure</w:t>
      </w:r>
      <w:r>
        <w:rPr>
          <w:rFonts w:cs="Times New Roman"/>
          <w:sz w:val="20"/>
          <w:szCs w:val="20"/>
        </w:rPr>
        <w:t>-</w:t>
      </w:r>
      <w:r w:rsidRPr="00F177EB">
        <w:rPr>
          <w:rFonts w:cs="Times New Roman"/>
          <w:sz w:val="20"/>
          <w:szCs w:val="20"/>
        </w:rPr>
        <w:t>associated liver disease (IFALD)</w:t>
      </w:r>
      <w:r>
        <w:rPr>
          <w:rFonts w:cs="Times New Roman"/>
          <w:sz w:val="20"/>
          <w:szCs w:val="20"/>
        </w:rPr>
        <w:t>,</w:t>
      </w:r>
      <w:r w:rsidRPr="00F177EB">
        <w:rPr>
          <w:rFonts w:cs="Times New Roman"/>
          <w:sz w:val="20"/>
          <w:szCs w:val="20"/>
        </w:rPr>
        <w:t xml:space="preserve"> can present as cholestasis or hepatic stenosis and may progress to steatohepatitis with fibrosis and cirrhosis (possibly leading to chronic hepatic failure).  The etiology of PNALD is multifactorial; however, intravenously administered phytosterols (plant sterols) contained in plant-derived lipid emulsions, including SMOFlipid, have been associated with development of PNALD.</w:t>
      </w:r>
    </w:p>
    <w:p w14:paraId="2A5BB1E0" w14:textId="77777777" w:rsidR="001D0255" w:rsidRPr="005C274B" w:rsidRDefault="001D0255" w:rsidP="001D0255">
      <w:pPr>
        <w:autoSpaceDE w:val="0"/>
        <w:autoSpaceDN w:val="0"/>
        <w:adjustRightInd w:val="0"/>
        <w:jc w:val="both"/>
        <w:rPr>
          <w:rFonts w:cs="Times New Roman"/>
          <w:sz w:val="20"/>
          <w:szCs w:val="20"/>
        </w:rPr>
      </w:pPr>
    </w:p>
    <w:p w14:paraId="1AC3AFAD" w14:textId="77777777" w:rsidR="001D0255" w:rsidRDefault="001D0255" w:rsidP="001D0255">
      <w:pPr>
        <w:autoSpaceDE w:val="0"/>
        <w:autoSpaceDN w:val="0"/>
        <w:adjustRightInd w:val="0"/>
        <w:ind w:left="360"/>
        <w:jc w:val="both"/>
        <w:rPr>
          <w:rFonts w:cs="Times New Roman"/>
          <w:sz w:val="20"/>
          <w:szCs w:val="20"/>
        </w:rPr>
      </w:pPr>
      <w:r w:rsidRPr="005C274B">
        <w:rPr>
          <w:rFonts w:cs="Times New Roman"/>
          <w:sz w:val="20"/>
          <w:szCs w:val="20"/>
        </w:rPr>
        <w:t xml:space="preserve">In a randomized study of neonates and infants expected to be treated with </w:t>
      </w:r>
      <w:r>
        <w:rPr>
          <w:rFonts w:cs="Times New Roman"/>
          <w:sz w:val="20"/>
          <w:szCs w:val="20"/>
        </w:rPr>
        <w:t>PN</w:t>
      </w:r>
      <w:r w:rsidRPr="005C274B">
        <w:rPr>
          <w:rFonts w:cs="Times New Roman"/>
          <w:sz w:val="20"/>
          <w:szCs w:val="20"/>
        </w:rPr>
        <w:t xml:space="preserve"> for at least 28 days, parenteral nutrition-associated cholestasis (PNAC), a precursor to PNALD, developed less frequently in SMOFlipid-treated patients than in 100% soybean oil lipid emulsion-treated patients.</w:t>
      </w:r>
    </w:p>
    <w:p w14:paraId="60373665" w14:textId="77777777" w:rsidR="001D0255" w:rsidRDefault="001D0255" w:rsidP="001D0255">
      <w:pPr>
        <w:autoSpaceDE w:val="0"/>
        <w:autoSpaceDN w:val="0"/>
        <w:adjustRightInd w:val="0"/>
        <w:ind w:left="360"/>
        <w:jc w:val="both"/>
        <w:rPr>
          <w:rFonts w:cs="Times New Roman"/>
          <w:sz w:val="20"/>
          <w:szCs w:val="20"/>
        </w:rPr>
      </w:pPr>
    </w:p>
    <w:p w14:paraId="412EA386" w14:textId="77777777" w:rsidR="001D0255" w:rsidRDefault="001D0255" w:rsidP="001D0255">
      <w:pPr>
        <w:autoSpaceDE w:val="0"/>
        <w:autoSpaceDN w:val="0"/>
        <w:adjustRightInd w:val="0"/>
        <w:ind w:left="360"/>
        <w:jc w:val="both"/>
        <w:rPr>
          <w:rFonts w:cs="Times New Roman"/>
          <w:sz w:val="20"/>
          <w:szCs w:val="20"/>
        </w:rPr>
      </w:pPr>
      <w:r w:rsidRPr="00C12227">
        <w:rPr>
          <w:rFonts w:cs="Times New Roman"/>
          <w:sz w:val="20"/>
          <w:szCs w:val="20"/>
        </w:rPr>
        <w:t>Monitor liver tests in patients treated with SMOFlipid and consider discontinuation or dosage reduction if abnormalities occur</w:t>
      </w:r>
      <w:r>
        <w:rPr>
          <w:rFonts w:cs="Times New Roman"/>
          <w:sz w:val="20"/>
          <w:szCs w:val="20"/>
        </w:rPr>
        <w:t>.</w:t>
      </w:r>
    </w:p>
    <w:p w14:paraId="3544158F" w14:textId="77777777" w:rsidR="001D0255" w:rsidRDefault="001D0255" w:rsidP="001D0255">
      <w:pPr>
        <w:autoSpaceDE w:val="0"/>
        <w:autoSpaceDN w:val="0"/>
        <w:adjustRightInd w:val="0"/>
        <w:ind w:left="360"/>
        <w:jc w:val="both"/>
        <w:rPr>
          <w:rFonts w:cs="Times New Roman"/>
          <w:sz w:val="20"/>
          <w:szCs w:val="20"/>
        </w:rPr>
      </w:pPr>
    </w:p>
    <w:p w14:paraId="0FFBEC8A" w14:textId="77777777" w:rsidR="001D0255" w:rsidRPr="00C12227" w:rsidRDefault="001D0255" w:rsidP="001D0255">
      <w:pPr>
        <w:pStyle w:val="ListParagraph"/>
        <w:autoSpaceDE w:val="0"/>
        <w:autoSpaceDN w:val="0"/>
        <w:adjustRightInd w:val="0"/>
        <w:ind w:left="360"/>
        <w:jc w:val="both"/>
        <w:rPr>
          <w:rFonts w:cs="Times New Roman"/>
          <w:sz w:val="20"/>
          <w:szCs w:val="20"/>
          <w:u w:val="single"/>
        </w:rPr>
      </w:pPr>
      <w:r w:rsidRPr="00C12227">
        <w:rPr>
          <w:rFonts w:cs="Times New Roman"/>
          <w:sz w:val="20"/>
          <w:szCs w:val="20"/>
          <w:u w:val="single"/>
        </w:rPr>
        <w:t>Other Hepatobiliary Disorders</w:t>
      </w:r>
    </w:p>
    <w:p w14:paraId="4EAE1896" w14:textId="77777777" w:rsidR="001D0255" w:rsidRPr="005C274B" w:rsidRDefault="001D0255" w:rsidP="001D0255">
      <w:pPr>
        <w:pStyle w:val="ListParagraph"/>
        <w:autoSpaceDE w:val="0"/>
        <w:autoSpaceDN w:val="0"/>
        <w:adjustRightInd w:val="0"/>
        <w:spacing w:after="0" w:line="240" w:lineRule="auto"/>
        <w:ind w:left="432"/>
        <w:jc w:val="both"/>
      </w:pPr>
      <w:r w:rsidRPr="00C12227">
        <w:rPr>
          <w:rFonts w:cs="Times New Roman"/>
          <w:sz w:val="20"/>
          <w:szCs w:val="20"/>
        </w:rPr>
        <w:t>Hepatobiliary disorders including cholecystitis and cholelithiasis have developed in some parenteral nutrition-treated patients without preexisting liver disease. Monitor liver tests when administering SMOFlipid. Patients developing signs of hepatobiliary disorders should be assessed early to determine whether these conditions are related to SMOFlipid use.</w:t>
      </w:r>
    </w:p>
    <w:p w14:paraId="07F22403" w14:textId="77777777" w:rsidR="001D0255" w:rsidRPr="0076730F" w:rsidRDefault="001D0255" w:rsidP="001D0255">
      <w:pPr>
        <w:autoSpaceDE w:val="0"/>
        <w:autoSpaceDN w:val="0"/>
        <w:adjustRightInd w:val="0"/>
        <w:jc w:val="both"/>
        <w:rPr>
          <w:rFonts w:eastAsia="Times New Roman" w:cs="Times New Roman"/>
          <w:b/>
          <w:bCs/>
          <w:sz w:val="20"/>
          <w:szCs w:val="20"/>
        </w:rPr>
      </w:pPr>
    </w:p>
    <w:p w14:paraId="6F5C41AE" w14:textId="77777777" w:rsidR="001D0255" w:rsidRPr="007B717C" w:rsidRDefault="001D0255" w:rsidP="001D0255">
      <w:pPr>
        <w:pStyle w:val="ListParagraph"/>
        <w:numPr>
          <w:ilvl w:val="0"/>
          <w:numId w:val="2"/>
        </w:numPr>
        <w:spacing w:after="0" w:line="240" w:lineRule="auto"/>
        <w:jc w:val="both"/>
        <w:rPr>
          <w:rFonts w:eastAsia="Times New Roman" w:cs="Times New Roman"/>
          <w:bCs/>
          <w:sz w:val="20"/>
          <w:szCs w:val="20"/>
        </w:rPr>
      </w:pPr>
      <w:r w:rsidRPr="007B717C">
        <w:rPr>
          <w:rFonts w:eastAsia="Times New Roman" w:cs="Times New Roman"/>
          <w:bCs/>
          <w:sz w:val="20"/>
          <w:szCs w:val="20"/>
        </w:rPr>
        <w:t xml:space="preserve">Hypersensitivity Reactions:  </w:t>
      </w:r>
      <w:r>
        <w:rPr>
          <w:rFonts w:eastAsia="Times New Roman" w:cs="Times New Roman"/>
          <w:bCs/>
          <w:sz w:val="20"/>
          <w:szCs w:val="20"/>
        </w:rPr>
        <w:t>SMOF</w:t>
      </w:r>
      <w:r w:rsidRPr="007B717C">
        <w:rPr>
          <w:rFonts w:eastAsia="Times New Roman" w:cs="Times New Roman"/>
          <w:bCs/>
          <w:sz w:val="20"/>
          <w:szCs w:val="20"/>
        </w:rPr>
        <w:t xml:space="preserve">lipid contains soybean oil, fish oil, and egg phospholipids, which may cause hypersensitivity reactions. Cross reactions have been observed between soybean and peanut. </w:t>
      </w:r>
      <w:r>
        <w:rPr>
          <w:rFonts w:eastAsia="Times New Roman" w:cs="Times New Roman"/>
          <w:bCs/>
          <w:sz w:val="20"/>
          <w:szCs w:val="20"/>
        </w:rPr>
        <w:t xml:space="preserve">SMOFlipid is contraindicated in patients with known hypersensitivity to fish, egg, soybean, peanut, or any of the active or inactive ingredients in SMOFlipid. </w:t>
      </w:r>
      <w:r w:rsidRPr="007B717C">
        <w:rPr>
          <w:rFonts w:eastAsia="Times New Roman" w:cs="Times New Roman"/>
          <w:bCs/>
          <w:sz w:val="20"/>
          <w:szCs w:val="20"/>
        </w:rPr>
        <w:t xml:space="preserve">If a hypersensitivity reaction occurs, stop infusion of </w:t>
      </w:r>
      <w:r>
        <w:rPr>
          <w:rFonts w:eastAsia="Times New Roman" w:cs="Times New Roman"/>
          <w:bCs/>
          <w:sz w:val="20"/>
          <w:szCs w:val="20"/>
        </w:rPr>
        <w:t>SMOF</w:t>
      </w:r>
      <w:r w:rsidRPr="007B717C">
        <w:rPr>
          <w:rFonts w:eastAsia="Times New Roman" w:cs="Times New Roman"/>
          <w:bCs/>
          <w:sz w:val="20"/>
          <w:szCs w:val="20"/>
        </w:rPr>
        <w:t xml:space="preserve">lipid immediately and </w:t>
      </w:r>
      <w:r>
        <w:rPr>
          <w:rFonts w:eastAsia="Times New Roman" w:cs="Times New Roman"/>
          <w:bCs/>
          <w:sz w:val="20"/>
          <w:szCs w:val="20"/>
        </w:rPr>
        <w:t>initiate</w:t>
      </w:r>
      <w:r w:rsidRPr="007B717C">
        <w:rPr>
          <w:rFonts w:eastAsia="Times New Roman" w:cs="Times New Roman"/>
          <w:bCs/>
          <w:sz w:val="20"/>
          <w:szCs w:val="20"/>
        </w:rPr>
        <w:t xml:space="preserve"> appropriate treatment and supportive measures.</w:t>
      </w:r>
    </w:p>
    <w:p w14:paraId="4150B210" w14:textId="77777777" w:rsidR="001D0255" w:rsidRDefault="001D0255" w:rsidP="001D0255">
      <w:pPr>
        <w:jc w:val="both"/>
        <w:rPr>
          <w:rFonts w:eastAsia="Times New Roman" w:cs="Times New Roman"/>
          <w:bCs/>
          <w:sz w:val="20"/>
          <w:szCs w:val="20"/>
        </w:rPr>
      </w:pPr>
    </w:p>
    <w:p w14:paraId="4FCBE169" w14:textId="77777777" w:rsidR="001D0255" w:rsidRPr="007B717C" w:rsidRDefault="001D0255" w:rsidP="001D0255">
      <w:pPr>
        <w:pStyle w:val="ListParagraph"/>
        <w:numPr>
          <w:ilvl w:val="0"/>
          <w:numId w:val="2"/>
        </w:numPr>
        <w:spacing w:after="0" w:line="240" w:lineRule="auto"/>
        <w:jc w:val="both"/>
        <w:rPr>
          <w:rFonts w:eastAsia="Times New Roman" w:cs="Times New Roman"/>
          <w:bCs/>
          <w:sz w:val="20"/>
          <w:szCs w:val="20"/>
        </w:rPr>
      </w:pPr>
      <w:r w:rsidRPr="007B717C">
        <w:rPr>
          <w:rFonts w:eastAsia="Times New Roman" w:cs="Times New Roman"/>
          <w:bCs/>
          <w:sz w:val="20"/>
          <w:szCs w:val="20"/>
        </w:rPr>
        <w:t xml:space="preserve">Infections:  Lipid emulsions, such as </w:t>
      </w:r>
      <w:r>
        <w:rPr>
          <w:rFonts w:eastAsia="Times New Roman" w:cs="Times New Roman"/>
          <w:bCs/>
          <w:sz w:val="20"/>
          <w:szCs w:val="20"/>
        </w:rPr>
        <w:t>SMOF</w:t>
      </w:r>
      <w:r w:rsidRPr="007B717C">
        <w:rPr>
          <w:rFonts w:eastAsia="Times New Roman" w:cs="Times New Roman"/>
          <w:bCs/>
          <w:sz w:val="20"/>
          <w:szCs w:val="20"/>
        </w:rPr>
        <w:t xml:space="preserve">lipid, can support microbial growth and </w:t>
      </w:r>
      <w:r>
        <w:rPr>
          <w:rFonts w:eastAsia="Times New Roman" w:cs="Times New Roman"/>
          <w:bCs/>
          <w:sz w:val="20"/>
          <w:szCs w:val="20"/>
        </w:rPr>
        <w:t>are</w:t>
      </w:r>
      <w:r w:rsidRPr="007B717C">
        <w:rPr>
          <w:rFonts w:eastAsia="Times New Roman" w:cs="Times New Roman"/>
          <w:bCs/>
          <w:sz w:val="20"/>
          <w:szCs w:val="20"/>
        </w:rPr>
        <w:t xml:space="preserve"> an independent risk factor for the development of catheter-related bloodstream infections. </w:t>
      </w:r>
      <w:r>
        <w:rPr>
          <w:rFonts w:eastAsia="Times New Roman" w:cs="Times New Roman"/>
          <w:bCs/>
          <w:sz w:val="20"/>
          <w:szCs w:val="20"/>
        </w:rPr>
        <w:t xml:space="preserve">To decrease the risk of infectious complications, ensure aseptic techniques are used for catheter placement, catheter maintenance, and preparation and administration of SMOFlipid.  </w:t>
      </w:r>
      <w:r w:rsidRPr="00A84827">
        <w:rPr>
          <w:rFonts w:ascii="Times New Roman" w:eastAsia="Times New Roman" w:hAnsi="Times New Roman" w:cs="Times New Roman"/>
          <w:sz w:val="20"/>
          <w:szCs w:val="20"/>
        </w:rPr>
        <w:t xml:space="preserve"> </w:t>
      </w:r>
      <w:r w:rsidRPr="00A84827">
        <w:rPr>
          <w:rFonts w:eastAsia="Times New Roman" w:cs="Times New Roman"/>
          <w:bCs/>
          <w:sz w:val="20"/>
          <w:szCs w:val="20"/>
        </w:rPr>
        <w:t>Monitor for signs and symptoms of infection including fever and chills, as well as laboratory test results that might indicate infection (including leukocytosis and hyperglycemia). Perform frequent checks of the intravenous catheter insertion site for edema, redness, and discharge</w:t>
      </w:r>
      <w:r>
        <w:rPr>
          <w:rFonts w:eastAsia="Times New Roman" w:cs="Times New Roman"/>
          <w:bCs/>
          <w:sz w:val="20"/>
          <w:szCs w:val="20"/>
        </w:rPr>
        <w:t>.</w:t>
      </w:r>
    </w:p>
    <w:p w14:paraId="5B934B90" w14:textId="77777777" w:rsidR="001D0255" w:rsidRPr="007B717C" w:rsidRDefault="001D0255" w:rsidP="001D0255">
      <w:pPr>
        <w:jc w:val="both"/>
        <w:rPr>
          <w:rFonts w:eastAsia="Times New Roman" w:cs="Times New Roman"/>
          <w:bCs/>
          <w:sz w:val="20"/>
          <w:szCs w:val="20"/>
        </w:rPr>
      </w:pPr>
    </w:p>
    <w:p w14:paraId="3CC6CC06" w14:textId="77777777" w:rsidR="001D0255" w:rsidRDefault="001D0255" w:rsidP="001D0255">
      <w:pPr>
        <w:pStyle w:val="ListParagraph"/>
        <w:numPr>
          <w:ilvl w:val="0"/>
          <w:numId w:val="2"/>
        </w:numPr>
        <w:spacing w:after="0" w:line="240" w:lineRule="auto"/>
        <w:jc w:val="both"/>
        <w:rPr>
          <w:rFonts w:eastAsia="Times New Roman" w:cs="Times New Roman"/>
          <w:bCs/>
          <w:sz w:val="20"/>
          <w:szCs w:val="20"/>
        </w:rPr>
      </w:pPr>
      <w:r w:rsidRPr="00927E53">
        <w:rPr>
          <w:rFonts w:eastAsia="Times New Roman" w:cs="Times New Roman"/>
          <w:bCs/>
          <w:sz w:val="20"/>
          <w:szCs w:val="20"/>
        </w:rPr>
        <w:t>Fat Overload Syndrome:</w:t>
      </w:r>
      <w:r w:rsidRPr="007B717C">
        <w:rPr>
          <w:rFonts w:eastAsia="Times New Roman" w:cs="Times New Roman"/>
          <w:bCs/>
          <w:sz w:val="20"/>
          <w:szCs w:val="20"/>
        </w:rPr>
        <w:t xml:space="preserve">  </w:t>
      </w:r>
      <w:r>
        <w:rPr>
          <w:rFonts w:eastAsia="Times New Roman" w:cs="Times New Roman"/>
          <w:bCs/>
          <w:sz w:val="20"/>
          <w:szCs w:val="20"/>
        </w:rPr>
        <w:t>This</w:t>
      </w:r>
      <w:r w:rsidRPr="007B717C">
        <w:rPr>
          <w:rFonts w:eastAsia="Times New Roman" w:cs="Times New Roman"/>
          <w:bCs/>
          <w:sz w:val="20"/>
          <w:szCs w:val="20"/>
        </w:rPr>
        <w:t xml:space="preserve"> is a rare condition that has been reported with intravenous lipid emulsions</w:t>
      </w:r>
      <w:r>
        <w:rPr>
          <w:rFonts w:eastAsia="Times New Roman" w:cs="Times New Roman"/>
          <w:bCs/>
          <w:sz w:val="20"/>
          <w:szCs w:val="20"/>
        </w:rPr>
        <w:t xml:space="preserve"> and is </w:t>
      </w:r>
      <w:r w:rsidRPr="007B717C">
        <w:rPr>
          <w:rFonts w:eastAsia="Times New Roman" w:cs="Times New Roman"/>
          <w:bCs/>
          <w:sz w:val="20"/>
          <w:szCs w:val="20"/>
        </w:rPr>
        <w:t xml:space="preserve">characterized by a sudden deterioration in the patient's condition </w:t>
      </w:r>
      <w:r>
        <w:rPr>
          <w:rFonts w:eastAsia="Times New Roman" w:cs="Times New Roman"/>
          <w:bCs/>
          <w:sz w:val="20"/>
          <w:szCs w:val="20"/>
        </w:rPr>
        <w:t>(e.g.,</w:t>
      </w:r>
      <w:r w:rsidRPr="007B717C">
        <w:rPr>
          <w:rFonts w:eastAsia="Times New Roman" w:cs="Times New Roman"/>
          <w:bCs/>
          <w:sz w:val="20"/>
          <w:szCs w:val="20"/>
        </w:rPr>
        <w:t xml:space="preserve"> fever, anemia, leukopenia, thrombocytopenia, coagulation disorders, hyperlipidemia, hepatomegaly</w:t>
      </w:r>
      <w:r>
        <w:rPr>
          <w:rFonts w:eastAsia="Times New Roman" w:cs="Times New Roman"/>
          <w:bCs/>
          <w:sz w:val="20"/>
          <w:szCs w:val="20"/>
        </w:rPr>
        <w:t>,</w:t>
      </w:r>
      <w:r w:rsidRPr="007B717C">
        <w:rPr>
          <w:rFonts w:eastAsia="Times New Roman" w:cs="Times New Roman"/>
          <w:bCs/>
          <w:sz w:val="20"/>
          <w:szCs w:val="20"/>
        </w:rPr>
        <w:t xml:space="preserve"> deteriorating liver function, and central nervous system manifestations </w:t>
      </w:r>
      <w:r>
        <w:rPr>
          <w:rFonts w:eastAsia="Times New Roman" w:cs="Times New Roman"/>
          <w:bCs/>
          <w:sz w:val="20"/>
          <w:szCs w:val="20"/>
        </w:rPr>
        <w:t>such as</w:t>
      </w:r>
      <w:r w:rsidRPr="007B717C">
        <w:rPr>
          <w:rFonts w:eastAsia="Times New Roman" w:cs="Times New Roman"/>
          <w:bCs/>
          <w:sz w:val="20"/>
          <w:szCs w:val="20"/>
        </w:rPr>
        <w:t xml:space="preserve"> coma).</w:t>
      </w:r>
      <w:r>
        <w:rPr>
          <w:rFonts w:eastAsia="Times New Roman" w:cs="Times New Roman"/>
          <w:bCs/>
          <w:sz w:val="20"/>
          <w:szCs w:val="20"/>
        </w:rPr>
        <w:t xml:space="preserve">  </w:t>
      </w:r>
      <w:r w:rsidRPr="00A84827">
        <w:rPr>
          <w:rFonts w:eastAsia="Times New Roman" w:cs="Times New Roman"/>
          <w:bCs/>
          <w:sz w:val="20"/>
          <w:szCs w:val="20"/>
        </w:rPr>
        <w:t xml:space="preserve">A reduced or limited ability to metabolize lipids, accompanied by prolonged plasma clearance (resulting in higher lipid levels), may result in this syndrome. Although fat overload syndrome has been most frequently observed when the recommended lipid dose or infusion rate was exceeded, cases have also been described when the lipid formulation was administered according to instructions. </w:t>
      </w:r>
    </w:p>
    <w:p w14:paraId="318DCD8F" w14:textId="77777777" w:rsidR="001D0255" w:rsidRDefault="001D0255" w:rsidP="001D0255">
      <w:pPr>
        <w:pStyle w:val="ListParagraph"/>
        <w:spacing w:after="0" w:line="240" w:lineRule="auto"/>
        <w:ind w:left="432"/>
        <w:jc w:val="both"/>
        <w:rPr>
          <w:rFonts w:eastAsia="Times New Roman" w:cs="Times New Roman"/>
          <w:bCs/>
          <w:sz w:val="20"/>
          <w:szCs w:val="20"/>
        </w:rPr>
      </w:pPr>
    </w:p>
    <w:p w14:paraId="2813B673" w14:textId="77777777" w:rsidR="001D0255" w:rsidRPr="00AF382E" w:rsidRDefault="001D0255" w:rsidP="001D0255">
      <w:pPr>
        <w:pStyle w:val="ListParagraph"/>
        <w:spacing w:after="0" w:line="240" w:lineRule="auto"/>
        <w:ind w:left="432"/>
        <w:jc w:val="both"/>
        <w:rPr>
          <w:sz w:val="20"/>
          <w:szCs w:val="20"/>
        </w:rPr>
      </w:pPr>
      <w:r w:rsidRPr="00AF382E">
        <w:rPr>
          <w:sz w:val="20"/>
          <w:szCs w:val="20"/>
        </w:rPr>
        <w:lastRenderedPageBreak/>
        <w:t>If signs or symptoms of fat overload syndrome occur, stop SMOFlipid. The syndrome is usually reversible when the infusion of the lipid emulsion is stopped.</w:t>
      </w:r>
    </w:p>
    <w:p w14:paraId="174B28E8" w14:textId="77777777" w:rsidR="001D0255" w:rsidRPr="007B717C" w:rsidRDefault="001D0255" w:rsidP="001D0255">
      <w:pPr>
        <w:jc w:val="both"/>
        <w:rPr>
          <w:rFonts w:eastAsia="Times New Roman" w:cs="Times New Roman"/>
          <w:bCs/>
          <w:sz w:val="20"/>
          <w:szCs w:val="20"/>
        </w:rPr>
      </w:pPr>
    </w:p>
    <w:p w14:paraId="396CF891" w14:textId="77777777" w:rsidR="001D0255" w:rsidRPr="00A84827" w:rsidRDefault="001D0255" w:rsidP="001D0255">
      <w:pPr>
        <w:pStyle w:val="ListParagraph"/>
        <w:numPr>
          <w:ilvl w:val="0"/>
          <w:numId w:val="2"/>
        </w:numPr>
        <w:spacing w:after="0" w:line="240" w:lineRule="auto"/>
        <w:jc w:val="both"/>
        <w:rPr>
          <w:rFonts w:eastAsia="Times New Roman" w:cs="Times New Roman"/>
          <w:bCs/>
          <w:sz w:val="20"/>
          <w:szCs w:val="20"/>
        </w:rPr>
      </w:pPr>
      <w:r w:rsidRPr="007B717C">
        <w:rPr>
          <w:rFonts w:eastAsia="Times New Roman" w:cs="Times New Roman"/>
          <w:bCs/>
          <w:sz w:val="20"/>
          <w:szCs w:val="20"/>
        </w:rPr>
        <w:t xml:space="preserve">Refeeding Syndrome: </w:t>
      </w:r>
      <w:bookmarkStart w:id="0" w:name="_Hlk22895017"/>
      <w:r w:rsidRPr="00A84827">
        <w:rPr>
          <w:rFonts w:eastAsia="Times New Roman" w:cs="Times New Roman"/>
          <w:bCs/>
          <w:sz w:val="20"/>
          <w:szCs w:val="20"/>
        </w:rPr>
        <w:t>Administering PN to severely malnourished patients may result in refeeding syndrome, which is characterized by the intracellular shift of potassium, phosphorus, and magnesium as patients become anabolic. Thiamine deficiency and fluid retention may also develop. To prevent these complications, closely monitor severely malnourished patients and slowly increase their nutrient intake.</w:t>
      </w:r>
    </w:p>
    <w:bookmarkEnd w:id="0"/>
    <w:p w14:paraId="24889391" w14:textId="77777777" w:rsidR="001D0255" w:rsidRPr="007B717C" w:rsidRDefault="001D0255" w:rsidP="001D0255">
      <w:pPr>
        <w:jc w:val="both"/>
        <w:rPr>
          <w:rFonts w:eastAsia="Times New Roman" w:cs="Times New Roman"/>
          <w:bCs/>
          <w:sz w:val="20"/>
          <w:szCs w:val="20"/>
        </w:rPr>
      </w:pPr>
    </w:p>
    <w:p w14:paraId="2691E0B1" w14:textId="77777777" w:rsidR="001D0255" w:rsidRDefault="001D0255" w:rsidP="001D0255">
      <w:pPr>
        <w:pStyle w:val="ListParagraph"/>
        <w:numPr>
          <w:ilvl w:val="0"/>
          <w:numId w:val="4"/>
        </w:numPr>
        <w:spacing w:after="0" w:line="240" w:lineRule="auto"/>
        <w:jc w:val="both"/>
        <w:rPr>
          <w:rFonts w:eastAsia="Times New Roman" w:cs="Times New Roman"/>
          <w:bCs/>
          <w:sz w:val="20"/>
          <w:szCs w:val="20"/>
        </w:rPr>
      </w:pPr>
      <w:r w:rsidRPr="00205462">
        <w:rPr>
          <w:rFonts w:eastAsia="Times New Roman" w:cs="Times New Roman"/>
          <w:bCs/>
          <w:sz w:val="20"/>
          <w:szCs w:val="20"/>
        </w:rPr>
        <w:t xml:space="preserve">Hypertriglyceridemia:  </w:t>
      </w:r>
      <w:r w:rsidRPr="00E91003">
        <w:rPr>
          <w:rFonts w:eastAsia="Times New Roman" w:cs="Times New Roman"/>
          <w:bCs/>
          <w:sz w:val="20"/>
          <w:szCs w:val="20"/>
        </w:rPr>
        <w:t xml:space="preserve">The use of SMOFlipid is contraindicated in patients with hypertriglyceridemia with serum triglyceride concentrations &gt;1,000 mg/dL.  </w:t>
      </w:r>
    </w:p>
    <w:p w14:paraId="4565B6EC" w14:textId="77777777" w:rsidR="001D0255" w:rsidRPr="0076730F" w:rsidRDefault="001D0255" w:rsidP="001D0255">
      <w:pPr>
        <w:jc w:val="both"/>
        <w:rPr>
          <w:rFonts w:eastAsia="Times New Roman" w:cs="Times New Roman"/>
          <w:bCs/>
          <w:sz w:val="20"/>
          <w:szCs w:val="20"/>
        </w:rPr>
      </w:pPr>
    </w:p>
    <w:p w14:paraId="6A2766A8" w14:textId="77777777" w:rsidR="001D0255" w:rsidRPr="0076730F" w:rsidRDefault="001D0255" w:rsidP="001D0255">
      <w:pPr>
        <w:ind w:left="432"/>
        <w:jc w:val="both"/>
        <w:rPr>
          <w:rFonts w:eastAsia="Times New Roman" w:cs="Times New Roman"/>
          <w:bCs/>
          <w:sz w:val="20"/>
          <w:szCs w:val="20"/>
        </w:rPr>
      </w:pPr>
      <w:r w:rsidRPr="0076730F">
        <w:rPr>
          <w:rFonts w:eastAsia="Times New Roman" w:cs="Times New Roman"/>
          <w:bCs/>
          <w:sz w:val="20"/>
          <w:szCs w:val="20"/>
        </w:rPr>
        <w:t xml:space="preserve">Patients with conditions such as inherited lipid disorders, obesity, diabetes mellitus, or metabolic syndromes have a higher risk of developing hypertriglyceridemia with the use of SMOFlipid. In addition, patients with hypertriglyceridemia may have worsening of their hypertriglyceridemia with administration of SMOFlipid. Excessive dextrose administration may further increase such risk.  </w:t>
      </w:r>
    </w:p>
    <w:p w14:paraId="049A1C98" w14:textId="77777777" w:rsidR="001D0255" w:rsidRPr="0076730F" w:rsidRDefault="001D0255" w:rsidP="001D0255">
      <w:pPr>
        <w:ind w:left="432"/>
        <w:jc w:val="both"/>
        <w:rPr>
          <w:rFonts w:eastAsia="Times New Roman" w:cs="Times New Roman"/>
          <w:bCs/>
          <w:sz w:val="20"/>
          <w:szCs w:val="20"/>
        </w:rPr>
      </w:pPr>
      <w:r w:rsidRPr="0076730F">
        <w:rPr>
          <w:rFonts w:eastAsia="Times New Roman" w:cs="Times New Roman"/>
          <w:bCs/>
          <w:sz w:val="20"/>
          <w:szCs w:val="20"/>
        </w:rPr>
        <w:t>Evaluate patients’ capacity to metabolize and eliminate the infused lipid emulsion by measuring serum triglycerides before the start of infusion (baseline value) and regularly throughout treatment. If triglyceride levels are above 400 mg/dL in adults, stop the SMOFlipid infusion and monitor serum triglyceride levels to avoid clinical consequences of hypertriglyceridemia such as pancreatitis. In pediatric patients with hypertriglyceridemia, lower triglyceride levels (i.e., below 400 mg/dL) may be associated with adverse reactions. Monitor serum triglyceride levels to avoid potential complications with hypertriglyceridemia such as pancreatitis, lipid pneumonitis, and neurologic changes, including kernicterus.</w:t>
      </w:r>
    </w:p>
    <w:p w14:paraId="2747935D" w14:textId="77777777" w:rsidR="001D0255" w:rsidRPr="0076730F" w:rsidRDefault="001D0255" w:rsidP="001D0255">
      <w:pPr>
        <w:ind w:left="432"/>
        <w:jc w:val="both"/>
        <w:rPr>
          <w:rFonts w:eastAsia="Times New Roman" w:cs="Times New Roman"/>
          <w:bCs/>
          <w:sz w:val="20"/>
          <w:szCs w:val="20"/>
        </w:rPr>
      </w:pPr>
      <w:r w:rsidRPr="0076730F">
        <w:rPr>
          <w:rFonts w:eastAsia="Times New Roman" w:cs="Times New Roman"/>
          <w:bCs/>
          <w:sz w:val="20"/>
          <w:szCs w:val="20"/>
        </w:rPr>
        <w:t>To minimize the risk of new or worsening of hypertriglyceridemia, assess high-risk patients for their overall energy intake including other sources of lipids and dextrose, as well as concomitant drugs that may affect lipid and dextrose metabolism.</w:t>
      </w:r>
    </w:p>
    <w:p w14:paraId="7FED2DB3" w14:textId="77777777" w:rsidR="001D0255" w:rsidRDefault="001D0255" w:rsidP="001D0255">
      <w:pPr>
        <w:pStyle w:val="ListParagraph"/>
        <w:numPr>
          <w:ilvl w:val="0"/>
          <w:numId w:val="4"/>
        </w:numPr>
        <w:spacing w:after="0" w:line="240" w:lineRule="auto"/>
        <w:jc w:val="both"/>
        <w:rPr>
          <w:rFonts w:eastAsia="Times New Roman" w:cs="Times New Roman"/>
          <w:bCs/>
          <w:sz w:val="20"/>
          <w:szCs w:val="20"/>
        </w:rPr>
      </w:pPr>
      <w:r w:rsidRPr="00205462">
        <w:rPr>
          <w:rFonts w:eastAsia="Times New Roman" w:cs="Times New Roman"/>
          <w:bCs/>
          <w:sz w:val="20"/>
          <w:szCs w:val="20"/>
        </w:rPr>
        <w:t>Aluminum Toxicity: SMOFlipid contains no</w:t>
      </w:r>
      <w:r>
        <w:rPr>
          <w:rFonts w:eastAsia="Times New Roman" w:cs="Times New Roman"/>
          <w:bCs/>
          <w:sz w:val="20"/>
          <w:szCs w:val="20"/>
        </w:rPr>
        <w:t xml:space="preserve"> </w:t>
      </w:r>
      <w:r w:rsidRPr="00205462">
        <w:rPr>
          <w:rFonts w:eastAsia="Times New Roman" w:cs="Times New Roman"/>
          <w:bCs/>
          <w:sz w:val="20"/>
          <w:szCs w:val="20"/>
        </w:rPr>
        <w:t>more than 25 mcg/L of aluminum.</w:t>
      </w:r>
      <w:r>
        <w:rPr>
          <w:rFonts w:eastAsia="Times New Roman" w:cs="Times New Roman"/>
          <w:bCs/>
          <w:sz w:val="20"/>
          <w:szCs w:val="20"/>
        </w:rPr>
        <w:t xml:space="preserve"> P</w:t>
      </w:r>
      <w:r w:rsidRPr="00205462">
        <w:rPr>
          <w:rFonts w:eastAsia="Times New Roman" w:cs="Times New Roman"/>
          <w:bCs/>
          <w:sz w:val="20"/>
          <w:szCs w:val="20"/>
        </w:rPr>
        <w:t>rolonged PN administration in patients with renal impairment</w:t>
      </w:r>
      <w:r>
        <w:rPr>
          <w:rFonts w:eastAsia="Times New Roman" w:cs="Times New Roman"/>
          <w:bCs/>
          <w:sz w:val="20"/>
          <w:szCs w:val="20"/>
        </w:rPr>
        <w:t xml:space="preserve"> may result in </w:t>
      </w:r>
      <w:r w:rsidRPr="00205462">
        <w:rPr>
          <w:rFonts w:eastAsia="Times New Roman" w:cs="Times New Roman"/>
          <w:bCs/>
          <w:sz w:val="20"/>
          <w:szCs w:val="20"/>
        </w:rPr>
        <w:t xml:space="preserve">aluminum </w:t>
      </w:r>
      <w:r>
        <w:rPr>
          <w:rFonts w:eastAsia="Times New Roman" w:cs="Times New Roman"/>
          <w:bCs/>
          <w:sz w:val="20"/>
          <w:szCs w:val="20"/>
        </w:rPr>
        <w:t xml:space="preserve">reaching toxic </w:t>
      </w:r>
      <w:r w:rsidRPr="00205462">
        <w:rPr>
          <w:rFonts w:eastAsia="Times New Roman" w:cs="Times New Roman"/>
          <w:bCs/>
          <w:sz w:val="20"/>
          <w:szCs w:val="20"/>
        </w:rPr>
        <w:t>levels</w:t>
      </w:r>
      <w:r>
        <w:rPr>
          <w:rFonts w:eastAsia="Times New Roman" w:cs="Times New Roman"/>
          <w:bCs/>
          <w:sz w:val="20"/>
          <w:szCs w:val="20"/>
        </w:rPr>
        <w:t>.</w:t>
      </w:r>
      <w:r w:rsidRPr="00205462">
        <w:rPr>
          <w:rFonts w:eastAsia="Times New Roman" w:cs="Times New Roman"/>
          <w:bCs/>
          <w:sz w:val="20"/>
          <w:szCs w:val="20"/>
        </w:rPr>
        <w:t xml:space="preserve"> Preterm infants are at greater risk because their kidneys are immature, and they require large amounts of calcium and phosphate solutions, which contain aluminum.  Patients with </w:t>
      </w:r>
      <w:r>
        <w:rPr>
          <w:rFonts w:eastAsia="Times New Roman" w:cs="Times New Roman"/>
          <w:bCs/>
          <w:sz w:val="20"/>
          <w:szCs w:val="20"/>
        </w:rPr>
        <w:t xml:space="preserve">impaired kidney function, </w:t>
      </w:r>
      <w:r w:rsidRPr="00205462">
        <w:rPr>
          <w:rFonts w:eastAsia="Times New Roman" w:cs="Times New Roman"/>
          <w:bCs/>
          <w:sz w:val="20"/>
          <w:szCs w:val="20"/>
        </w:rPr>
        <w:t xml:space="preserve">including preterm infants, who receive parenteral </w:t>
      </w:r>
      <w:r>
        <w:rPr>
          <w:rFonts w:eastAsia="Times New Roman" w:cs="Times New Roman"/>
          <w:bCs/>
          <w:sz w:val="20"/>
          <w:szCs w:val="20"/>
        </w:rPr>
        <w:t>levels</w:t>
      </w:r>
      <w:r w:rsidRPr="00205462">
        <w:rPr>
          <w:rFonts w:eastAsia="Times New Roman" w:cs="Times New Roman"/>
          <w:bCs/>
          <w:sz w:val="20"/>
          <w:szCs w:val="20"/>
        </w:rPr>
        <w:t xml:space="preserve"> of aluminum at greater than 4 to 5 mcg/kg/day can accumulate aluminum </w:t>
      </w:r>
      <w:r>
        <w:rPr>
          <w:rFonts w:eastAsia="Times New Roman" w:cs="Times New Roman"/>
          <w:bCs/>
          <w:sz w:val="20"/>
          <w:szCs w:val="20"/>
        </w:rPr>
        <w:t>at</w:t>
      </w:r>
      <w:r w:rsidRPr="00205462">
        <w:rPr>
          <w:rFonts w:eastAsia="Times New Roman" w:cs="Times New Roman"/>
          <w:bCs/>
          <w:sz w:val="20"/>
          <w:szCs w:val="20"/>
        </w:rPr>
        <w:t xml:space="preserve"> levels associated with central nervous system and bone toxicity. Tissue loading may occur at even lower rates of administration</w:t>
      </w:r>
      <w:r>
        <w:rPr>
          <w:rFonts w:eastAsia="Times New Roman" w:cs="Times New Roman"/>
          <w:bCs/>
          <w:sz w:val="20"/>
          <w:szCs w:val="20"/>
        </w:rPr>
        <w:t>.</w:t>
      </w:r>
    </w:p>
    <w:p w14:paraId="48FF20D7" w14:textId="77777777" w:rsidR="001D0255" w:rsidRDefault="001D0255" w:rsidP="001D0255">
      <w:pPr>
        <w:pStyle w:val="ListParagraph"/>
        <w:spacing w:after="0" w:line="240" w:lineRule="auto"/>
        <w:ind w:left="432"/>
        <w:jc w:val="both"/>
        <w:rPr>
          <w:rFonts w:eastAsia="Times New Roman" w:cs="Times New Roman"/>
          <w:bCs/>
          <w:sz w:val="20"/>
          <w:szCs w:val="20"/>
        </w:rPr>
      </w:pPr>
    </w:p>
    <w:p w14:paraId="7E9BB8D6" w14:textId="77777777" w:rsidR="001D0255" w:rsidRPr="000F0EDF" w:rsidRDefault="001D0255" w:rsidP="001D0255">
      <w:pPr>
        <w:pStyle w:val="ListParagraph"/>
        <w:numPr>
          <w:ilvl w:val="0"/>
          <w:numId w:val="4"/>
        </w:numPr>
        <w:spacing w:after="0" w:line="240" w:lineRule="auto"/>
        <w:jc w:val="both"/>
        <w:rPr>
          <w:rFonts w:eastAsia="Times New Roman" w:cs="Times New Roman"/>
          <w:bCs/>
          <w:sz w:val="20"/>
          <w:szCs w:val="20"/>
        </w:rPr>
      </w:pPr>
      <w:r w:rsidRPr="00E3210D">
        <w:rPr>
          <w:rFonts w:eastAsia="Times New Roman" w:cs="Times New Roman"/>
          <w:bCs/>
          <w:sz w:val="20"/>
          <w:szCs w:val="20"/>
        </w:rPr>
        <w:t xml:space="preserve">Essential Fatty Acid Deficiency: </w:t>
      </w:r>
      <w:r w:rsidRPr="0076730F">
        <w:rPr>
          <w:rFonts w:eastAsia="Times New Roman" w:cs="Times New Roman"/>
          <w:bCs/>
          <w:sz w:val="20"/>
          <w:szCs w:val="20"/>
        </w:rPr>
        <w:t>Treatment-emergent cases of moderate or severe essential fatty acid deficiency (EFAD) (defined as the triene [Mead acid] to tetraene [arachidonic acid] ratio &gt;0.2 and &gt;0.4, respectively) were not observed in pediatric clinical trials of SMOFlipid up to 28 days</w:t>
      </w:r>
      <w:r>
        <w:rPr>
          <w:rFonts w:eastAsia="Times New Roman" w:cs="Times New Roman"/>
          <w:bCs/>
          <w:i/>
          <w:iCs/>
          <w:sz w:val="20"/>
          <w:szCs w:val="20"/>
        </w:rPr>
        <w:t xml:space="preserve">. </w:t>
      </w:r>
      <w:r w:rsidRPr="000F0EDF">
        <w:rPr>
          <w:rFonts w:eastAsia="Times New Roman" w:cs="Times New Roman"/>
          <w:bCs/>
          <w:sz w:val="20"/>
          <w:szCs w:val="20"/>
        </w:rPr>
        <w:t xml:space="preserve">However, cases of EFAD have been reported in adults and pediatric patients in the </w:t>
      </w:r>
      <w:proofErr w:type="spellStart"/>
      <w:r w:rsidRPr="000F0EDF">
        <w:rPr>
          <w:rFonts w:eastAsia="Times New Roman" w:cs="Times New Roman"/>
          <w:bCs/>
          <w:sz w:val="20"/>
          <w:szCs w:val="20"/>
        </w:rPr>
        <w:t>postmarketing</w:t>
      </w:r>
      <w:proofErr w:type="spellEnd"/>
      <w:r w:rsidRPr="000F0EDF">
        <w:rPr>
          <w:rFonts w:eastAsia="Times New Roman" w:cs="Times New Roman"/>
          <w:bCs/>
          <w:sz w:val="20"/>
          <w:szCs w:val="20"/>
        </w:rPr>
        <w:t xml:space="preserve"> period with the use of SMOFlipid. The median time to onset was greater than 28 days among cases that reported time to onset.  Monitor patients for laboratory evidence (e.g.</w:t>
      </w:r>
      <w:r>
        <w:rPr>
          <w:rFonts w:eastAsia="Times New Roman" w:cs="Times New Roman"/>
          <w:bCs/>
          <w:sz w:val="20"/>
          <w:szCs w:val="20"/>
        </w:rPr>
        <w:t>,</w:t>
      </w:r>
      <w:r w:rsidRPr="000F0EDF">
        <w:rPr>
          <w:rFonts w:eastAsia="Times New Roman" w:cs="Times New Roman"/>
          <w:bCs/>
          <w:sz w:val="20"/>
          <w:szCs w:val="20"/>
        </w:rPr>
        <w:t xml:space="preserve"> abnormal fatty acid levels) and clinical symptoms of EFAD (e.g., skin manifestations and poor growth)</w:t>
      </w:r>
      <w:r>
        <w:rPr>
          <w:rFonts w:eastAsia="Times New Roman" w:cs="Times New Roman"/>
          <w:bCs/>
          <w:sz w:val="20"/>
          <w:szCs w:val="20"/>
        </w:rPr>
        <w:t xml:space="preserve"> </w:t>
      </w:r>
      <w:r w:rsidRPr="000F0EDF">
        <w:rPr>
          <w:rFonts w:eastAsia="Times New Roman" w:cs="Times New Roman"/>
          <w:bCs/>
          <w:sz w:val="20"/>
          <w:szCs w:val="20"/>
        </w:rPr>
        <w:t>because these signs may emerge before laboratory evidence of EFAD is confirmed.  Laboratory testing using the triene to tetraene ratio may not be adequate to diagnose EFAD, and assessment of individual fatty acid levels may be needed. Ensure patients are receiving recommended dosages of SMOFlipid to prevent EFAD.</w:t>
      </w:r>
    </w:p>
    <w:p w14:paraId="370ED6B0" w14:textId="77777777" w:rsidR="001D0255" w:rsidRPr="00E3210D" w:rsidRDefault="001D0255" w:rsidP="001D0255">
      <w:pPr>
        <w:jc w:val="both"/>
        <w:rPr>
          <w:rFonts w:eastAsia="Times New Roman" w:cs="Times New Roman"/>
          <w:bCs/>
          <w:sz w:val="20"/>
          <w:szCs w:val="20"/>
        </w:rPr>
      </w:pPr>
    </w:p>
    <w:p w14:paraId="4F4EFBF9" w14:textId="77777777" w:rsidR="001D0255" w:rsidRPr="00E3210D" w:rsidRDefault="001D0255" w:rsidP="001D0255">
      <w:pPr>
        <w:pStyle w:val="ListParagraph"/>
        <w:numPr>
          <w:ilvl w:val="0"/>
          <w:numId w:val="4"/>
        </w:numPr>
        <w:spacing w:after="0" w:line="240" w:lineRule="auto"/>
        <w:jc w:val="both"/>
        <w:rPr>
          <w:rFonts w:eastAsia="Times New Roman" w:cs="Times New Roman"/>
          <w:sz w:val="20"/>
          <w:szCs w:val="20"/>
        </w:rPr>
      </w:pPr>
      <w:r w:rsidRPr="00E3210D">
        <w:rPr>
          <w:rFonts w:eastAsia="Times New Roman" w:cs="Times New Roman"/>
          <w:sz w:val="20"/>
          <w:szCs w:val="20"/>
        </w:rPr>
        <w:t xml:space="preserve">Monitoring/Laboratory Tests: </w:t>
      </w:r>
      <w:r>
        <w:rPr>
          <w:rFonts w:eastAsia="Times New Roman" w:cs="Times New Roman"/>
          <w:sz w:val="20"/>
          <w:szCs w:val="20"/>
        </w:rPr>
        <w:t xml:space="preserve">Throughout treatment </w:t>
      </w:r>
      <w:r w:rsidRPr="00E3210D">
        <w:rPr>
          <w:rFonts w:eastAsia="Times New Roman" w:cs="Times New Roman"/>
          <w:sz w:val="20"/>
          <w:szCs w:val="20"/>
        </w:rPr>
        <w:t xml:space="preserve">monitor serum triglycerides, fluid and electrolyte status, blood glucose, liver and kidney function, coagulation parameters, and complete blood count including platelets. </w:t>
      </w:r>
    </w:p>
    <w:p w14:paraId="242557B9" w14:textId="77777777" w:rsidR="001D0255" w:rsidRDefault="001D0255" w:rsidP="001D0255">
      <w:pPr>
        <w:pStyle w:val="ListParagraph"/>
        <w:spacing w:after="0" w:line="240" w:lineRule="auto"/>
        <w:ind w:left="432"/>
        <w:jc w:val="both"/>
        <w:rPr>
          <w:rFonts w:eastAsia="Times New Roman" w:cs="Times New Roman"/>
          <w:sz w:val="20"/>
          <w:szCs w:val="20"/>
        </w:rPr>
      </w:pPr>
      <w:r w:rsidRPr="00E3210D">
        <w:rPr>
          <w:rFonts w:eastAsia="Times New Roman" w:cs="Times New Roman"/>
          <w:sz w:val="20"/>
          <w:szCs w:val="20"/>
        </w:rPr>
        <w:t xml:space="preserve">  </w:t>
      </w:r>
    </w:p>
    <w:p w14:paraId="47A32CFF" w14:textId="77777777" w:rsidR="001D0255" w:rsidRPr="00E3210D" w:rsidRDefault="001D0255" w:rsidP="001D0255">
      <w:pPr>
        <w:pStyle w:val="ListParagraph"/>
        <w:spacing w:after="0" w:line="240" w:lineRule="auto"/>
        <w:ind w:left="432"/>
        <w:jc w:val="both"/>
        <w:rPr>
          <w:rFonts w:eastAsia="Times New Roman" w:cs="Times New Roman"/>
          <w:sz w:val="20"/>
          <w:szCs w:val="20"/>
        </w:rPr>
      </w:pPr>
      <w:r w:rsidRPr="00E3210D">
        <w:rPr>
          <w:rFonts w:eastAsia="Times New Roman" w:cs="Times New Roman"/>
          <w:sz w:val="20"/>
          <w:szCs w:val="20"/>
        </w:rPr>
        <w:t>The lipids contained in SMOFlipid may interfere with some laboratory blood tests (e.g., hemoglobin, lactate dehydrogenase [LDH], bilirubin, and oxygen saturation) if blood is sampled before lipids have cleared from the bloodstream.  Conduct these blood tests at least 6 hours after stopping the infusion.  SMOFlipid contains vitamin K that may counteract anticoagulant activity.</w:t>
      </w:r>
    </w:p>
    <w:p w14:paraId="5A0215D7" w14:textId="77777777" w:rsidR="001D0255" w:rsidRDefault="001D0255" w:rsidP="001D0255">
      <w:pPr>
        <w:jc w:val="both"/>
        <w:rPr>
          <w:rFonts w:eastAsia="Times New Roman" w:cs="Times New Roman"/>
          <w:b/>
          <w:bCs/>
          <w:sz w:val="20"/>
          <w:szCs w:val="20"/>
        </w:rPr>
      </w:pPr>
    </w:p>
    <w:p w14:paraId="1D0CC5D4" w14:textId="77777777" w:rsidR="001D0255" w:rsidRDefault="001D0255" w:rsidP="001D0255">
      <w:pPr>
        <w:jc w:val="both"/>
        <w:rPr>
          <w:rFonts w:eastAsia="Times New Roman" w:cs="Times New Roman"/>
          <w:b/>
          <w:bCs/>
          <w:sz w:val="20"/>
          <w:szCs w:val="20"/>
        </w:rPr>
      </w:pPr>
      <w:r w:rsidRPr="00E814A6">
        <w:rPr>
          <w:rFonts w:eastAsia="Times New Roman" w:cs="Times New Roman"/>
          <w:b/>
          <w:bCs/>
          <w:sz w:val="20"/>
          <w:szCs w:val="20"/>
        </w:rPr>
        <w:t xml:space="preserve">ADVERSE REACTIONS </w:t>
      </w:r>
    </w:p>
    <w:p w14:paraId="0E0E1F00" w14:textId="77777777" w:rsidR="001D0255" w:rsidRPr="00E814A6" w:rsidRDefault="001D0255" w:rsidP="001D0255">
      <w:pPr>
        <w:jc w:val="both"/>
        <w:rPr>
          <w:rFonts w:eastAsia="Times New Roman" w:cs="Times New Roman"/>
          <w:bCs/>
          <w:sz w:val="20"/>
          <w:szCs w:val="20"/>
          <w:u w:val="single"/>
        </w:rPr>
      </w:pPr>
    </w:p>
    <w:p w14:paraId="4EC7F354" w14:textId="77777777" w:rsidR="001D0255" w:rsidRPr="00E814A6" w:rsidRDefault="001D0255" w:rsidP="001D0255">
      <w:pPr>
        <w:jc w:val="both"/>
        <w:rPr>
          <w:rFonts w:eastAsia="Times New Roman" w:cs="Times New Roman"/>
          <w:sz w:val="20"/>
          <w:szCs w:val="20"/>
        </w:rPr>
      </w:pPr>
      <w:r w:rsidRPr="00E814A6">
        <w:rPr>
          <w:rFonts w:eastAsia="Times New Roman" w:cs="Times New Roman"/>
          <w:sz w:val="20"/>
          <w:szCs w:val="20"/>
        </w:rPr>
        <w:t>Most common adverse drug reactions &gt;1%</w:t>
      </w:r>
      <w:r w:rsidRPr="00E814A6">
        <w:rPr>
          <w:rFonts w:ascii="AntiqueOliveStd-Light" w:eastAsia="AntiqueOliveStd-Light" w:cs="AntiqueOliveStd-Light"/>
          <w:sz w:val="16"/>
          <w:szCs w:val="16"/>
        </w:rPr>
        <w:t xml:space="preserve"> </w:t>
      </w:r>
      <w:r w:rsidRPr="00E814A6">
        <w:rPr>
          <w:rFonts w:eastAsia="Times New Roman" w:cs="Times New Roman"/>
          <w:sz w:val="20"/>
          <w:szCs w:val="20"/>
        </w:rPr>
        <w:t xml:space="preserve">of </w:t>
      </w:r>
      <w:r>
        <w:rPr>
          <w:rFonts w:eastAsia="Times New Roman" w:cs="Times New Roman"/>
          <w:sz w:val="20"/>
          <w:szCs w:val="20"/>
        </w:rPr>
        <w:t xml:space="preserve">adult </w:t>
      </w:r>
      <w:r w:rsidRPr="00E814A6">
        <w:rPr>
          <w:rFonts w:eastAsia="Times New Roman" w:cs="Times New Roman"/>
          <w:sz w:val="20"/>
          <w:szCs w:val="20"/>
        </w:rPr>
        <w:t xml:space="preserve">patients who received </w:t>
      </w:r>
      <w:r>
        <w:rPr>
          <w:rFonts w:eastAsia="Times New Roman" w:cs="Times New Roman"/>
          <w:sz w:val="20"/>
          <w:szCs w:val="20"/>
        </w:rPr>
        <w:t>SMOF</w:t>
      </w:r>
      <w:r w:rsidRPr="00E814A6">
        <w:rPr>
          <w:rFonts w:eastAsia="Times New Roman" w:cs="Times New Roman"/>
          <w:sz w:val="20"/>
          <w:szCs w:val="20"/>
        </w:rPr>
        <w:t>lipid from clinical trials were nausea, vomiting, hyperglycemia, flatulence, pyrexia, abdominal pain, increased blood triglycerides, hypertension, sepsis, dyspepsia, urinary tract infection, anemia</w:t>
      </w:r>
      <w:r>
        <w:rPr>
          <w:rFonts w:eastAsia="Times New Roman" w:cs="Times New Roman"/>
          <w:sz w:val="20"/>
          <w:szCs w:val="20"/>
        </w:rPr>
        <w:t>,</w:t>
      </w:r>
      <w:r w:rsidRPr="00E814A6">
        <w:rPr>
          <w:rFonts w:eastAsia="Times New Roman" w:cs="Times New Roman"/>
          <w:sz w:val="20"/>
          <w:szCs w:val="20"/>
        </w:rPr>
        <w:t xml:space="preserve"> and device</w:t>
      </w:r>
      <w:r>
        <w:rPr>
          <w:rFonts w:eastAsia="Times New Roman" w:cs="Times New Roman"/>
          <w:sz w:val="20"/>
          <w:szCs w:val="20"/>
        </w:rPr>
        <w:t>-</w:t>
      </w:r>
      <w:r w:rsidRPr="00E814A6">
        <w:rPr>
          <w:rFonts w:eastAsia="Times New Roman" w:cs="Times New Roman"/>
          <w:sz w:val="20"/>
          <w:szCs w:val="20"/>
        </w:rPr>
        <w:t>related infection.</w:t>
      </w:r>
    </w:p>
    <w:p w14:paraId="67CEBD6C" w14:textId="77777777" w:rsidR="001D0255" w:rsidRPr="00E814A6" w:rsidRDefault="001D0255" w:rsidP="001D0255">
      <w:pPr>
        <w:autoSpaceDE w:val="0"/>
        <w:autoSpaceDN w:val="0"/>
        <w:adjustRightInd w:val="0"/>
        <w:jc w:val="both"/>
        <w:rPr>
          <w:rFonts w:eastAsia="TimesNewRomanPSMT" w:cs="TimesNewRomanPSMT"/>
          <w:sz w:val="20"/>
          <w:szCs w:val="20"/>
        </w:rPr>
      </w:pPr>
    </w:p>
    <w:p w14:paraId="0145C542" w14:textId="77777777" w:rsidR="001D0255" w:rsidRPr="00E814A6" w:rsidRDefault="001D0255" w:rsidP="001D0255">
      <w:pPr>
        <w:autoSpaceDE w:val="0"/>
        <w:autoSpaceDN w:val="0"/>
        <w:adjustRightInd w:val="0"/>
        <w:jc w:val="both"/>
        <w:rPr>
          <w:rFonts w:eastAsia="TimesNewRomanPSMT" w:cs="Times New Roman"/>
          <w:sz w:val="20"/>
          <w:szCs w:val="20"/>
        </w:rPr>
      </w:pPr>
      <w:r w:rsidRPr="00E814A6">
        <w:rPr>
          <w:rFonts w:eastAsia="TimesNewRomanPSMT" w:cs="TimesNewRomanPSMT"/>
          <w:sz w:val="20"/>
          <w:szCs w:val="20"/>
        </w:rPr>
        <w:lastRenderedPageBreak/>
        <w:t>Less common adverse reactions in ≤</w:t>
      </w:r>
      <w:r w:rsidRPr="00E814A6">
        <w:rPr>
          <w:rFonts w:eastAsia="TimesNewRomanPSMT" w:cs="Times New Roman"/>
          <w:sz w:val="20"/>
          <w:szCs w:val="20"/>
        </w:rPr>
        <w:t xml:space="preserve">1% of </w:t>
      </w:r>
      <w:r>
        <w:rPr>
          <w:rFonts w:eastAsia="TimesNewRomanPSMT" w:cs="Times New Roman"/>
          <w:sz w:val="20"/>
          <w:szCs w:val="20"/>
        </w:rPr>
        <w:t xml:space="preserve">adult </w:t>
      </w:r>
      <w:r w:rsidRPr="00E814A6">
        <w:rPr>
          <w:rFonts w:eastAsia="TimesNewRomanPSMT" w:cs="Times New Roman"/>
          <w:sz w:val="20"/>
          <w:szCs w:val="20"/>
        </w:rPr>
        <w:t xml:space="preserve">patients who received </w:t>
      </w:r>
      <w:r>
        <w:rPr>
          <w:rFonts w:eastAsia="TimesNewRomanPSMT" w:cs="Times New Roman"/>
          <w:sz w:val="20"/>
          <w:szCs w:val="20"/>
        </w:rPr>
        <w:t>SMOF</w:t>
      </w:r>
      <w:r w:rsidRPr="00E814A6">
        <w:rPr>
          <w:rFonts w:eastAsia="TimesNewRomanPSMT" w:cs="Times New Roman"/>
          <w:sz w:val="20"/>
          <w:szCs w:val="20"/>
        </w:rPr>
        <w:t>lipid were dyspnea, leukocytosis, diarrhea, pneumonia, cholestasis, dysgeusia, increased blood alkaline phosphatase, increased gamma-</w:t>
      </w:r>
      <w:proofErr w:type="spellStart"/>
      <w:r w:rsidRPr="00E814A6">
        <w:rPr>
          <w:rFonts w:eastAsia="TimesNewRomanPSMT" w:cs="Times New Roman"/>
          <w:sz w:val="20"/>
          <w:szCs w:val="20"/>
        </w:rPr>
        <w:t>glutamyltransferase</w:t>
      </w:r>
      <w:proofErr w:type="spellEnd"/>
      <w:r w:rsidRPr="00E814A6">
        <w:rPr>
          <w:rFonts w:eastAsia="TimesNewRomanPSMT" w:cs="Times New Roman"/>
          <w:sz w:val="20"/>
          <w:szCs w:val="20"/>
        </w:rPr>
        <w:t>, increased C-reactive protein, tachycardia, liver function test abnormalities, headache, pruritis, dizziness, rash</w:t>
      </w:r>
      <w:r>
        <w:rPr>
          <w:rFonts w:eastAsia="TimesNewRomanPSMT" w:cs="Times New Roman"/>
          <w:sz w:val="20"/>
          <w:szCs w:val="20"/>
        </w:rPr>
        <w:t>,</w:t>
      </w:r>
      <w:r w:rsidRPr="00E814A6">
        <w:rPr>
          <w:rFonts w:eastAsia="TimesNewRomanPSMT" w:cs="Times New Roman"/>
          <w:sz w:val="20"/>
          <w:szCs w:val="20"/>
        </w:rPr>
        <w:t xml:space="preserve"> and</w:t>
      </w:r>
      <w:r>
        <w:rPr>
          <w:rFonts w:eastAsia="TimesNewRomanPSMT" w:cs="Times New Roman"/>
          <w:sz w:val="20"/>
          <w:szCs w:val="20"/>
        </w:rPr>
        <w:t xml:space="preserve"> thrombophlebitis.</w:t>
      </w:r>
    </w:p>
    <w:p w14:paraId="6CAD3377" w14:textId="77777777" w:rsidR="001D0255" w:rsidRPr="00E814A6" w:rsidRDefault="001D0255" w:rsidP="001D0255">
      <w:pPr>
        <w:jc w:val="both"/>
        <w:rPr>
          <w:rFonts w:eastAsia="Times New Roman" w:cs="Times New Roman"/>
          <w:sz w:val="20"/>
          <w:szCs w:val="20"/>
          <w:u w:val="single"/>
        </w:rPr>
      </w:pPr>
    </w:p>
    <w:p w14:paraId="4B9C48CD" w14:textId="77777777" w:rsidR="001D0255" w:rsidRDefault="001D0255" w:rsidP="001D0255">
      <w:pPr>
        <w:jc w:val="both"/>
        <w:rPr>
          <w:rFonts w:eastAsia="Times New Roman" w:cs="Times New Roman"/>
          <w:sz w:val="20"/>
          <w:szCs w:val="20"/>
        </w:rPr>
      </w:pPr>
      <w:r>
        <w:rPr>
          <w:rFonts w:eastAsia="Times New Roman" w:cs="Times New Roman"/>
          <w:sz w:val="20"/>
          <w:szCs w:val="20"/>
        </w:rPr>
        <w:t>The most common adverse drug reactions in &gt;1% of pediatric patients who received SMOFlipid were anemia, vomiting, gamma-</w:t>
      </w:r>
      <w:proofErr w:type="spellStart"/>
      <w:r>
        <w:rPr>
          <w:rFonts w:eastAsia="Times New Roman" w:cs="Times New Roman"/>
          <w:sz w:val="20"/>
          <w:szCs w:val="20"/>
        </w:rPr>
        <w:t>glutamyltransferase</w:t>
      </w:r>
      <w:proofErr w:type="spellEnd"/>
      <w:r>
        <w:rPr>
          <w:rFonts w:eastAsia="Times New Roman" w:cs="Times New Roman"/>
          <w:sz w:val="20"/>
          <w:szCs w:val="20"/>
        </w:rPr>
        <w:t xml:space="preserve"> increased, nosocomial infection, cholestasis, pyrexia, C-reactive protein increased, hyperbilirubinemia, abdominal pain, bilirubin conjugated increased, diarrhea, tachycardia, thrombocytopenia, hyperglycemia, and sepsis.</w:t>
      </w:r>
    </w:p>
    <w:p w14:paraId="45A1CD7E" w14:textId="77777777" w:rsidR="001D0255" w:rsidRDefault="001D0255" w:rsidP="001D0255">
      <w:pPr>
        <w:jc w:val="both"/>
        <w:rPr>
          <w:rFonts w:eastAsia="Times New Roman" w:cs="Times New Roman"/>
          <w:sz w:val="20"/>
          <w:szCs w:val="20"/>
        </w:rPr>
      </w:pPr>
    </w:p>
    <w:p w14:paraId="6B553FA0" w14:textId="77777777" w:rsidR="001D0255" w:rsidRPr="00DC192E" w:rsidRDefault="001D0255" w:rsidP="001D0255">
      <w:pPr>
        <w:jc w:val="both"/>
        <w:rPr>
          <w:rFonts w:eastAsia="Times New Roman" w:cs="Times New Roman"/>
          <w:sz w:val="20"/>
          <w:szCs w:val="20"/>
        </w:rPr>
      </w:pPr>
      <w:r w:rsidRPr="00DC192E">
        <w:rPr>
          <w:rFonts w:eastAsia="Times New Roman" w:cs="Times New Roman"/>
          <w:sz w:val="20"/>
          <w:szCs w:val="20"/>
        </w:rPr>
        <w:t>Less common adverse reactions in ≤1% of pediatric patients who received SMOFlipid were decreased hematocrit, metabolic acidosis, increased blood triglycerides, infection, increased blood alkaline phosphatase, increased alanine aminotransferase, fluid overload, hypertension, hypertriglyceridemia, and rash.</w:t>
      </w:r>
    </w:p>
    <w:p w14:paraId="4076C9B2" w14:textId="77777777" w:rsidR="001D0255" w:rsidRPr="00E814A6" w:rsidRDefault="001D0255" w:rsidP="001D0255">
      <w:pPr>
        <w:jc w:val="both"/>
        <w:rPr>
          <w:rFonts w:eastAsia="Times New Roman" w:cs="Times New Roman"/>
          <w:sz w:val="20"/>
          <w:szCs w:val="20"/>
        </w:rPr>
      </w:pPr>
    </w:p>
    <w:p w14:paraId="28249326" w14:textId="77777777" w:rsidR="001D0255" w:rsidRDefault="001D0255" w:rsidP="001D0255">
      <w:pPr>
        <w:autoSpaceDE w:val="0"/>
        <w:autoSpaceDN w:val="0"/>
        <w:adjustRightInd w:val="0"/>
        <w:jc w:val="both"/>
        <w:rPr>
          <w:rFonts w:cs="Times New Roman"/>
          <w:sz w:val="20"/>
          <w:szCs w:val="20"/>
        </w:rPr>
      </w:pPr>
      <w:r w:rsidRPr="00E814A6">
        <w:rPr>
          <w:rFonts w:cs="Times New Roman"/>
          <w:sz w:val="20"/>
          <w:szCs w:val="20"/>
        </w:rPr>
        <w:t xml:space="preserve">The following adverse reactions have been identified during post-approval use of </w:t>
      </w:r>
      <w:r>
        <w:rPr>
          <w:rFonts w:cs="Times New Roman"/>
          <w:sz w:val="20"/>
          <w:szCs w:val="20"/>
        </w:rPr>
        <w:t>SMOF</w:t>
      </w:r>
      <w:r w:rsidRPr="00E814A6">
        <w:rPr>
          <w:rFonts w:cs="Times New Roman"/>
          <w:sz w:val="20"/>
          <w:szCs w:val="20"/>
        </w:rPr>
        <w:t xml:space="preserve">lipid in countries where it is registered.  </w:t>
      </w:r>
      <w:r w:rsidRPr="0076730F">
        <w:rPr>
          <w:rFonts w:cs="Times New Roman"/>
          <w:sz w:val="20"/>
          <w:szCs w:val="20"/>
        </w:rPr>
        <w:t>Cardiac disorders</w:t>
      </w:r>
      <w:r w:rsidRPr="009843C0">
        <w:rPr>
          <w:rFonts w:cs="Times New Roman"/>
          <w:i/>
          <w:iCs/>
          <w:sz w:val="20"/>
          <w:szCs w:val="20"/>
        </w:rPr>
        <w:t xml:space="preserve">: </w:t>
      </w:r>
      <w:r w:rsidRPr="009843C0">
        <w:rPr>
          <w:rFonts w:cs="Times New Roman"/>
          <w:sz w:val="20"/>
          <w:szCs w:val="20"/>
        </w:rPr>
        <w:t>palpitations</w:t>
      </w:r>
      <w:r>
        <w:rPr>
          <w:rFonts w:cs="Times New Roman"/>
          <w:sz w:val="20"/>
          <w:szCs w:val="20"/>
        </w:rPr>
        <w:t xml:space="preserve">; </w:t>
      </w:r>
      <w:r w:rsidRPr="0076730F">
        <w:rPr>
          <w:rFonts w:cs="Times New Roman"/>
          <w:sz w:val="20"/>
          <w:szCs w:val="20"/>
        </w:rPr>
        <w:t>General disorders and administration site conditions</w:t>
      </w:r>
      <w:r w:rsidRPr="009843C0">
        <w:rPr>
          <w:rFonts w:cs="Times New Roman"/>
          <w:i/>
          <w:iCs/>
          <w:sz w:val="20"/>
          <w:szCs w:val="20"/>
        </w:rPr>
        <w:t xml:space="preserve">: </w:t>
      </w:r>
      <w:r w:rsidRPr="009843C0">
        <w:rPr>
          <w:rFonts w:cs="Times New Roman"/>
          <w:sz w:val="20"/>
          <w:szCs w:val="20"/>
        </w:rPr>
        <w:t>chills, chest pain, malaise</w:t>
      </w:r>
      <w:r>
        <w:rPr>
          <w:rFonts w:cs="Times New Roman"/>
          <w:sz w:val="20"/>
          <w:szCs w:val="20"/>
        </w:rPr>
        <w:t xml:space="preserve">; </w:t>
      </w:r>
      <w:r w:rsidRPr="0076730F">
        <w:rPr>
          <w:rFonts w:cs="Times New Roman"/>
          <w:sz w:val="20"/>
          <w:szCs w:val="20"/>
        </w:rPr>
        <w:t>Hepatobiliary disorders</w:t>
      </w:r>
      <w:r w:rsidRPr="009843C0">
        <w:rPr>
          <w:rFonts w:cs="Times New Roman"/>
          <w:i/>
          <w:iCs/>
          <w:sz w:val="20"/>
          <w:szCs w:val="20"/>
        </w:rPr>
        <w:t xml:space="preserve">: </w:t>
      </w:r>
      <w:r w:rsidRPr="009843C0">
        <w:rPr>
          <w:rFonts w:cs="Times New Roman"/>
          <w:sz w:val="20"/>
          <w:szCs w:val="20"/>
        </w:rPr>
        <w:t>cholestasis</w:t>
      </w:r>
      <w:r>
        <w:rPr>
          <w:rFonts w:cs="Times New Roman"/>
          <w:sz w:val="20"/>
          <w:szCs w:val="20"/>
        </w:rPr>
        <w:t>;</w:t>
      </w:r>
      <w:r w:rsidRPr="009843C0">
        <w:rPr>
          <w:rFonts w:cs="Times New Roman"/>
          <w:sz w:val="20"/>
          <w:szCs w:val="20"/>
        </w:rPr>
        <w:t xml:space="preserve"> </w:t>
      </w:r>
      <w:r w:rsidRPr="00E814A6">
        <w:rPr>
          <w:rFonts w:cs="Times New Roman"/>
          <w:sz w:val="20"/>
          <w:szCs w:val="20"/>
        </w:rPr>
        <w:t xml:space="preserve">Infections and </w:t>
      </w:r>
      <w:r>
        <w:rPr>
          <w:rFonts w:cs="Times New Roman"/>
          <w:sz w:val="20"/>
          <w:szCs w:val="20"/>
        </w:rPr>
        <w:t>i</w:t>
      </w:r>
      <w:r w:rsidRPr="00E814A6">
        <w:rPr>
          <w:rFonts w:cs="Times New Roman"/>
          <w:sz w:val="20"/>
          <w:szCs w:val="20"/>
        </w:rPr>
        <w:t>nfestations: infection</w:t>
      </w:r>
      <w:r>
        <w:rPr>
          <w:rFonts w:cs="Times New Roman"/>
          <w:sz w:val="20"/>
          <w:szCs w:val="20"/>
        </w:rPr>
        <w:t>;</w:t>
      </w:r>
      <w:r w:rsidRPr="009843C0">
        <w:t xml:space="preserve"> </w:t>
      </w:r>
      <w:r w:rsidRPr="009843C0">
        <w:rPr>
          <w:rFonts w:cs="Times New Roman"/>
          <w:sz w:val="20"/>
          <w:szCs w:val="20"/>
        </w:rPr>
        <w:t>Metabolism and nutrition disorders: fatty acid deficiency</w:t>
      </w:r>
      <w:r>
        <w:rPr>
          <w:rFonts w:cs="Times New Roman"/>
          <w:sz w:val="20"/>
          <w:szCs w:val="20"/>
        </w:rPr>
        <w:t>;</w:t>
      </w:r>
      <w:r w:rsidRPr="00E814A6">
        <w:rPr>
          <w:rFonts w:cs="Times New Roman"/>
          <w:sz w:val="20"/>
          <w:szCs w:val="20"/>
        </w:rPr>
        <w:t xml:space="preserve"> Respiratory, </w:t>
      </w:r>
      <w:proofErr w:type="gramStart"/>
      <w:r>
        <w:rPr>
          <w:rFonts w:cs="Times New Roman"/>
          <w:sz w:val="20"/>
          <w:szCs w:val="20"/>
        </w:rPr>
        <w:t>t</w:t>
      </w:r>
      <w:r w:rsidRPr="00E814A6">
        <w:rPr>
          <w:rFonts w:cs="Times New Roman"/>
          <w:sz w:val="20"/>
          <w:szCs w:val="20"/>
        </w:rPr>
        <w:t>horacic</w:t>
      </w:r>
      <w:proofErr w:type="gramEnd"/>
      <w:r w:rsidRPr="00E814A6">
        <w:rPr>
          <w:rFonts w:cs="Times New Roman"/>
          <w:sz w:val="20"/>
          <w:szCs w:val="20"/>
        </w:rPr>
        <w:t xml:space="preserve"> and </w:t>
      </w:r>
      <w:r>
        <w:rPr>
          <w:rFonts w:cs="Times New Roman"/>
          <w:sz w:val="20"/>
          <w:szCs w:val="20"/>
        </w:rPr>
        <w:t>m</w:t>
      </w:r>
      <w:r w:rsidRPr="00E814A6">
        <w:rPr>
          <w:rFonts w:cs="Times New Roman"/>
          <w:sz w:val="20"/>
          <w:szCs w:val="20"/>
        </w:rPr>
        <w:t xml:space="preserve">ediastinal </w:t>
      </w:r>
      <w:r>
        <w:rPr>
          <w:rFonts w:cs="Times New Roman"/>
          <w:sz w:val="20"/>
          <w:szCs w:val="20"/>
        </w:rPr>
        <w:t>d</w:t>
      </w:r>
      <w:r w:rsidRPr="00E814A6">
        <w:rPr>
          <w:rFonts w:cs="Times New Roman"/>
          <w:sz w:val="20"/>
          <w:szCs w:val="20"/>
        </w:rPr>
        <w:t>isorders: dyspnea</w:t>
      </w:r>
      <w:r>
        <w:rPr>
          <w:rFonts w:cs="Times New Roman"/>
          <w:sz w:val="20"/>
          <w:szCs w:val="20"/>
        </w:rPr>
        <w:t xml:space="preserve">; </w:t>
      </w:r>
      <w:r w:rsidRPr="009843C0">
        <w:rPr>
          <w:rFonts w:cs="Times New Roman"/>
          <w:sz w:val="20"/>
          <w:szCs w:val="20"/>
        </w:rPr>
        <w:t>Skin and subcutaneous tissue disorders: hyperhidrosis</w:t>
      </w:r>
      <w:r>
        <w:rPr>
          <w:rFonts w:cs="Times New Roman"/>
          <w:sz w:val="20"/>
          <w:szCs w:val="20"/>
        </w:rPr>
        <w:t xml:space="preserve">; </w:t>
      </w:r>
      <w:r w:rsidRPr="009843C0">
        <w:rPr>
          <w:rFonts w:cs="Times New Roman"/>
          <w:sz w:val="20"/>
          <w:szCs w:val="20"/>
        </w:rPr>
        <w:t>Vascular disorders: phlebitis</w:t>
      </w:r>
      <w:r>
        <w:rPr>
          <w:rFonts w:cs="Times New Roman"/>
          <w:sz w:val="20"/>
          <w:szCs w:val="20"/>
        </w:rPr>
        <w:t>.</w:t>
      </w:r>
    </w:p>
    <w:p w14:paraId="1E2DD859" w14:textId="77777777" w:rsidR="001D0255" w:rsidRPr="007E7D4F" w:rsidRDefault="001D0255" w:rsidP="001D0255">
      <w:pPr>
        <w:jc w:val="both"/>
        <w:rPr>
          <w:rFonts w:eastAsia="Times New Roman" w:cs="Times New Roman"/>
          <w:sz w:val="20"/>
          <w:szCs w:val="20"/>
        </w:rPr>
      </w:pPr>
    </w:p>
    <w:p w14:paraId="5FD18301" w14:textId="77777777" w:rsidR="001D0255" w:rsidRPr="007E7D4F" w:rsidRDefault="001D0255" w:rsidP="001D0255">
      <w:pPr>
        <w:jc w:val="both"/>
        <w:rPr>
          <w:rFonts w:eastAsia="Times New Roman" w:cs="Times New Roman"/>
          <w:sz w:val="20"/>
          <w:szCs w:val="20"/>
        </w:rPr>
      </w:pPr>
      <w:r w:rsidRPr="007E7D4F">
        <w:rPr>
          <w:rFonts w:eastAsia="Times New Roman" w:cs="Times New Roman"/>
          <w:b/>
          <w:bCs/>
          <w:sz w:val="20"/>
          <w:szCs w:val="20"/>
        </w:rPr>
        <w:t>To report SUSPECTED ADVERSE REACTIONS, contact Fresenius Kabi USA, LLC at 1-800-551-7176</w:t>
      </w:r>
      <w:r>
        <w:rPr>
          <w:rFonts w:eastAsia="Times New Roman" w:cs="Times New Roman"/>
          <w:b/>
          <w:bCs/>
          <w:sz w:val="20"/>
          <w:szCs w:val="20"/>
        </w:rPr>
        <w:t xml:space="preserve">, </w:t>
      </w:r>
      <w:r w:rsidRPr="00C42056">
        <w:rPr>
          <w:b/>
          <w:bCs/>
          <w:sz w:val="20"/>
          <w:szCs w:val="20"/>
        </w:rPr>
        <w:t xml:space="preserve">option 5, </w:t>
      </w:r>
      <w:r w:rsidRPr="007E7D4F">
        <w:rPr>
          <w:rFonts w:eastAsia="Times New Roman" w:cs="Times New Roman"/>
          <w:b/>
          <w:bCs/>
          <w:sz w:val="20"/>
          <w:szCs w:val="20"/>
        </w:rPr>
        <w:t xml:space="preserve">or FDA at 1-800-FDA-1088 or </w:t>
      </w:r>
      <w:r w:rsidRPr="00136575">
        <w:rPr>
          <w:rFonts w:eastAsia="Times New Roman" w:cs="Times New Roman"/>
          <w:b/>
          <w:bCs/>
          <w:sz w:val="20"/>
          <w:szCs w:val="20"/>
        </w:rPr>
        <w:t>www.fda.gov/medwatch</w:t>
      </w:r>
      <w:r w:rsidRPr="007E7D4F">
        <w:rPr>
          <w:rFonts w:eastAsia="Times New Roman" w:cs="Times New Roman"/>
          <w:b/>
          <w:bCs/>
          <w:i/>
          <w:iCs/>
          <w:sz w:val="20"/>
          <w:szCs w:val="20"/>
        </w:rPr>
        <w:t xml:space="preserve">. </w:t>
      </w:r>
    </w:p>
    <w:p w14:paraId="039BB1CE" w14:textId="77777777" w:rsidR="001D0255" w:rsidRPr="007E7D4F" w:rsidRDefault="001D0255" w:rsidP="001D0255">
      <w:pPr>
        <w:jc w:val="both"/>
        <w:rPr>
          <w:rFonts w:eastAsia="Times New Roman" w:cs="Times New Roman"/>
          <w:b/>
          <w:bCs/>
          <w:sz w:val="20"/>
          <w:szCs w:val="20"/>
        </w:rPr>
      </w:pPr>
    </w:p>
    <w:p w14:paraId="0700E9A8" w14:textId="77777777" w:rsidR="001D0255" w:rsidRPr="00F00649" w:rsidRDefault="001D0255" w:rsidP="001D0255">
      <w:pPr>
        <w:jc w:val="both"/>
        <w:rPr>
          <w:rFonts w:eastAsia="Times New Roman" w:cs="Times New Roman"/>
          <w:b/>
          <w:bCs/>
          <w:sz w:val="20"/>
          <w:szCs w:val="20"/>
        </w:rPr>
      </w:pPr>
      <w:r w:rsidRPr="00F00649">
        <w:rPr>
          <w:rFonts w:eastAsia="Times New Roman" w:cs="Times New Roman"/>
          <w:b/>
          <w:bCs/>
          <w:sz w:val="20"/>
          <w:szCs w:val="20"/>
        </w:rPr>
        <w:t>DRUG INTERACTIONS</w:t>
      </w:r>
    </w:p>
    <w:p w14:paraId="49107FE3" w14:textId="77777777" w:rsidR="001D0255" w:rsidRPr="00DD0575" w:rsidRDefault="001D0255" w:rsidP="001D0255">
      <w:pPr>
        <w:jc w:val="both"/>
        <w:rPr>
          <w:rFonts w:eastAsia="Times New Roman" w:cs="Times New Roman"/>
          <w:sz w:val="20"/>
          <w:szCs w:val="20"/>
        </w:rPr>
      </w:pPr>
      <w:r w:rsidRPr="00DD0575">
        <w:rPr>
          <w:rFonts w:eastAsia="Times New Roman" w:cs="Times New Roman"/>
          <w:sz w:val="20"/>
          <w:szCs w:val="20"/>
        </w:rPr>
        <w:t>Soybean and olive oils in SMOFlipid contain vitamin K</w:t>
      </w:r>
      <w:r w:rsidRPr="00DD0575">
        <w:rPr>
          <w:rFonts w:eastAsia="Times New Roman" w:cs="Times New Roman"/>
          <w:sz w:val="20"/>
          <w:szCs w:val="20"/>
          <w:vertAlign w:val="subscript"/>
        </w:rPr>
        <w:t>1</w:t>
      </w:r>
      <w:r w:rsidRPr="00DD0575">
        <w:rPr>
          <w:rFonts w:eastAsia="Times New Roman" w:cs="Times New Roman"/>
          <w:sz w:val="20"/>
          <w:szCs w:val="20"/>
        </w:rPr>
        <w:t xml:space="preserve"> which may counteract the anticoagulant</w:t>
      </w:r>
      <w:r>
        <w:rPr>
          <w:rFonts w:eastAsia="Times New Roman" w:cs="Times New Roman"/>
          <w:sz w:val="20"/>
          <w:szCs w:val="20"/>
        </w:rPr>
        <w:t xml:space="preserve"> activity of vitamin K antagonists such as warfarin. In patients who receive concomitant SMOFlipid and warfarin, increase monitoring of laboratory parameters for anticoagulant activity.</w:t>
      </w:r>
    </w:p>
    <w:p w14:paraId="1907079A" w14:textId="77777777" w:rsidR="001D0255" w:rsidRPr="00F00649" w:rsidRDefault="001D0255" w:rsidP="001D0255">
      <w:pPr>
        <w:jc w:val="both"/>
        <w:rPr>
          <w:b/>
          <w:sz w:val="20"/>
          <w:szCs w:val="20"/>
        </w:rPr>
      </w:pPr>
    </w:p>
    <w:p w14:paraId="3DBB5425" w14:textId="77777777" w:rsidR="001D0255" w:rsidRPr="00E814A6" w:rsidRDefault="001D0255" w:rsidP="001D0255">
      <w:pPr>
        <w:jc w:val="both"/>
        <w:rPr>
          <w:b/>
          <w:sz w:val="20"/>
          <w:szCs w:val="20"/>
        </w:rPr>
      </w:pPr>
      <w:r w:rsidRPr="00E814A6">
        <w:rPr>
          <w:b/>
          <w:sz w:val="20"/>
          <w:szCs w:val="20"/>
        </w:rPr>
        <w:t>USE IN SPECIFIC POPULATIONS</w:t>
      </w:r>
    </w:p>
    <w:p w14:paraId="5697E7EE" w14:textId="77777777" w:rsidR="001D0255" w:rsidRPr="004E6ECD" w:rsidRDefault="001D0255" w:rsidP="001D0255">
      <w:pPr>
        <w:pStyle w:val="ListParagraph"/>
        <w:numPr>
          <w:ilvl w:val="0"/>
          <w:numId w:val="3"/>
        </w:numPr>
        <w:autoSpaceDE w:val="0"/>
        <w:autoSpaceDN w:val="0"/>
        <w:adjustRightInd w:val="0"/>
        <w:spacing w:after="0" w:line="240" w:lineRule="auto"/>
        <w:jc w:val="both"/>
        <w:rPr>
          <w:rFonts w:cs="Frutiger-Cn"/>
          <w:sz w:val="20"/>
          <w:szCs w:val="20"/>
        </w:rPr>
      </w:pPr>
      <w:r w:rsidRPr="00747C58">
        <w:rPr>
          <w:sz w:val="20"/>
          <w:szCs w:val="20"/>
        </w:rPr>
        <w:t xml:space="preserve">Pregnancy and Lactation:  </w:t>
      </w:r>
      <w:r w:rsidRPr="009041B3">
        <w:rPr>
          <w:sz w:val="20"/>
          <w:szCs w:val="20"/>
        </w:rPr>
        <w:t>Administration of the recommended dose of SMOFlipid is not expected to cause major birth defects, miscarriage, or other adverse maternal or fetal outcomes. No animal reproduction studies have been conducted with SMOFlipid.</w:t>
      </w:r>
      <w:r>
        <w:rPr>
          <w:sz w:val="20"/>
          <w:szCs w:val="20"/>
        </w:rPr>
        <w:t xml:space="preserve"> </w:t>
      </w:r>
      <w:r w:rsidRPr="009041B3">
        <w:rPr>
          <w:sz w:val="20"/>
          <w:szCs w:val="20"/>
        </w:rPr>
        <w:t xml:space="preserve">Administration of the recommended dose of SMOFlipid is not expected to cause harm to a breastfed infant. There are no data on the presence of SMOFlipid in human or animal milk or its effects on milk production. </w:t>
      </w:r>
    </w:p>
    <w:p w14:paraId="1CA98329" w14:textId="77777777" w:rsidR="001D0255" w:rsidRPr="0082290D" w:rsidRDefault="001D0255" w:rsidP="001D0255">
      <w:pPr>
        <w:pStyle w:val="ListParagraph"/>
        <w:autoSpaceDE w:val="0"/>
        <w:autoSpaceDN w:val="0"/>
        <w:adjustRightInd w:val="0"/>
        <w:spacing w:after="0" w:line="240" w:lineRule="auto"/>
        <w:jc w:val="both"/>
        <w:rPr>
          <w:rFonts w:cs="Frutiger-Cn"/>
          <w:sz w:val="20"/>
          <w:szCs w:val="20"/>
        </w:rPr>
      </w:pPr>
    </w:p>
    <w:p w14:paraId="2E196C60" w14:textId="77777777" w:rsidR="001D0255" w:rsidRPr="00565C4F" w:rsidRDefault="001D0255" w:rsidP="001D0255">
      <w:pPr>
        <w:pStyle w:val="ListParagraph"/>
        <w:numPr>
          <w:ilvl w:val="0"/>
          <w:numId w:val="3"/>
        </w:numPr>
        <w:autoSpaceDE w:val="0"/>
        <w:autoSpaceDN w:val="0"/>
        <w:adjustRightInd w:val="0"/>
        <w:spacing w:after="0" w:line="240" w:lineRule="auto"/>
        <w:jc w:val="both"/>
        <w:rPr>
          <w:rFonts w:cs="Frutiger-Cn"/>
          <w:sz w:val="20"/>
          <w:szCs w:val="20"/>
        </w:rPr>
      </w:pPr>
      <w:r w:rsidRPr="00E6409B">
        <w:rPr>
          <w:rFonts w:cs="Frutiger-Cn"/>
          <w:sz w:val="20"/>
          <w:szCs w:val="20"/>
        </w:rPr>
        <w:t xml:space="preserve">Pediatric Use:  </w:t>
      </w:r>
      <w:r w:rsidRPr="00E6409B">
        <w:rPr>
          <w:rFonts w:cs="Times New Roman"/>
          <w:sz w:val="20"/>
          <w:szCs w:val="20"/>
        </w:rPr>
        <w:t xml:space="preserve"> The safety and effectiveness of SMOFlipid have been established as a source of calories and essential fatty acids for parenteral nutrition when oral or enteral nutrition is not possible, insufficient, or contraindicated in pediatric patients, including term and preterm neonates.</w:t>
      </w:r>
      <w:r>
        <w:rPr>
          <w:rFonts w:cs="Times New Roman"/>
          <w:sz w:val="20"/>
          <w:szCs w:val="20"/>
        </w:rPr>
        <w:t xml:space="preserve">  </w:t>
      </w:r>
      <w:r w:rsidRPr="00E6409B">
        <w:rPr>
          <w:rFonts w:cs="Times New Roman"/>
          <w:sz w:val="20"/>
          <w:szCs w:val="20"/>
        </w:rPr>
        <w:t>Use of SMOFlipid in neonates is supported by evidence from short-term (i.e., 1- to 4-week) studies, and one study following neonates beyond 4 weeks. Use of SMOFlipid in older pediatric patients is supported by evidence from a short-term (i.e., &lt;28 days) study in pediatric patients 28 days to 12 years of age and additional evidence from studies in adults. The most common adverse reactions in SMOFlipid-treated pediatric patients were anemia, vomiting, gamma-</w:t>
      </w:r>
      <w:proofErr w:type="spellStart"/>
      <w:r w:rsidRPr="00E6409B">
        <w:rPr>
          <w:rFonts w:cs="Times New Roman"/>
          <w:sz w:val="20"/>
          <w:szCs w:val="20"/>
        </w:rPr>
        <w:t>glutamyltransferase</w:t>
      </w:r>
      <w:proofErr w:type="spellEnd"/>
      <w:r w:rsidRPr="00E6409B">
        <w:rPr>
          <w:rFonts w:cs="Times New Roman"/>
          <w:sz w:val="20"/>
          <w:szCs w:val="20"/>
        </w:rPr>
        <w:t xml:space="preserve"> increased, and nosocomial infection</w:t>
      </w:r>
      <w:r w:rsidRPr="00E6409B">
        <w:rPr>
          <w:rFonts w:cs="Times New Roman"/>
          <w:i/>
          <w:iCs/>
          <w:sz w:val="20"/>
          <w:szCs w:val="20"/>
        </w:rPr>
        <w:t xml:space="preserve">.  </w:t>
      </w:r>
      <w:r w:rsidRPr="00E6409B">
        <w:rPr>
          <w:rFonts w:cs="Times New Roman"/>
          <w:sz w:val="20"/>
          <w:szCs w:val="20"/>
        </w:rPr>
        <w:t xml:space="preserve">PNALD, also referred to as IFALD, has been reported in pediatric patients who received SMOFlipid for more than 2 weeks. PNAC (a precursor to PNALD) was reported less frequently in SMOFlipid-treated patients compared to soybean oil lipid emulsion-treated patients in Pediatric Study 1. Although clinically significant cases of EFAD were not observed during short-term use in pediatric clinical studies, cases of EFAD have been reported with the use of SMOFlipid in the </w:t>
      </w:r>
      <w:proofErr w:type="spellStart"/>
      <w:r w:rsidRPr="00E6409B">
        <w:rPr>
          <w:rFonts w:cs="Times New Roman"/>
          <w:sz w:val="20"/>
          <w:szCs w:val="20"/>
        </w:rPr>
        <w:t>postmarketing</w:t>
      </w:r>
      <w:proofErr w:type="spellEnd"/>
      <w:r w:rsidRPr="00E6409B">
        <w:rPr>
          <w:rFonts w:cs="Times New Roman"/>
          <w:sz w:val="20"/>
          <w:szCs w:val="20"/>
        </w:rPr>
        <w:t xml:space="preserve"> setting. Monitor pediatric patients for laboratory evidence of EFAD because they may be particularly vulnerable to neurologic complications if adequate amounts of essential fatty acids are not provided. </w:t>
      </w:r>
      <w:r>
        <w:rPr>
          <w:rFonts w:cs="Times New Roman"/>
          <w:sz w:val="20"/>
          <w:szCs w:val="20"/>
        </w:rPr>
        <w:t xml:space="preserve">In the post marketing setting, clinical decompensation with rapid infusion of intravenous lipid emulsion in neonates and infants, sometimes fatal has been reported. Because of immature renal function, preterm infants receiving prolonged treatment with SMOFlipid may be at risk for aluminum toxicity. </w:t>
      </w:r>
    </w:p>
    <w:p w14:paraId="205F665C" w14:textId="77777777" w:rsidR="001D0255" w:rsidRPr="00565C4F" w:rsidRDefault="001D0255" w:rsidP="001D0255">
      <w:pPr>
        <w:pStyle w:val="ListParagraph"/>
        <w:autoSpaceDE w:val="0"/>
        <w:autoSpaceDN w:val="0"/>
        <w:adjustRightInd w:val="0"/>
        <w:spacing w:after="0" w:line="240" w:lineRule="auto"/>
        <w:jc w:val="both"/>
        <w:rPr>
          <w:rFonts w:cs="Frutiger-Cn"/>
          <w:sz w:val="20"/>
          <w:szCs w:val="20"/>
        </w:rPr>
      </w:pPr>
    </w:p>
    <w:p w14:paraId="06E695D7" w14:textId="77777777" w:rsidR="001D0255" w:rsidRPr="00CA6BC4" w:rsidRDefault="001D0255" w:rsidP="001D0255">
      <w:pPr>
        <w:pStyle w:val="ListParagraph"/>
        <w:numPr>
          <w:ilvl w:val="0"/>
          <w:numId w:val="3"/>
        </w:numPr>
        <w:autoSpaceDE w:val="0"/>
        <w:autoSpaceDN w:val="0"/>
        <w:adjustRightInd w:val="0"/>
        <w:spacing w:after="0" w:line="240" w:lineRule="auto"/>
        <w:jc w:val="both"/>
        <w:rPr>
          <w:rFonts w:cs="Frutiger-Cn"/>
          <w:sz w:val="20"/>
          <w:szCs w:val="20"/>
        </w:rPr>
      </w:pPr>
      <w:r w:rsidRPr="00CA6BC4">
        <w:rPr>
          <w:rFonts w:cs="Frutiger-Cn"/>
          <w:sz w:val="20"/>
          <w:szCs w:val="20"/>
        </w:rPr>
        <w:t xml:space="preserve">Geriatric Use: Energy expenditure and requirements may be lower for older adults than younger patients. Of the 354 adult patients in clinical studies of SMOFlipid, 35% were &gt;65 years of age and 10% were &gt;75 years of age. No overall differences in the safety and efficacy of SMOFlipid were observed between these patients and younger </w:t>
      </w:r>
      <w:r w:rsidRPr="00CA6BC4">
        <w:rPr>
          <w:rFonts w:cs="Frutiger-Cn"/>
          <w:sz w:val="20"/>
          <w:szCs w:val="20"/>
        </w:rPr>
        <w:lastRenderedPageBreak/>
        <w:t>patients, and other reported clinical experience has not identified differences in responses between the elderly and younger patients, but greater sensitivity</w:t>
      </w:r>
      <w:r>
        <w:rPr>
          <w:rFonts w:cs="Frutiger-Cn"/>
          <w:sz w:val="20"/>
          <w:szCs w:val="20"/>
        </w:rPr>
        <w:t xml:space="preserve"> </w:t>
      </w:r>
      <w:r w:rsidRPr="00CA6BC4">
        <w:rPr>
          <w:rFonts w:cs="Frutiger-Cn"/>
          <w:sz w:val="20"/>
          <w:szCs w:val="20"/>
        </w:rPr>
        <w:t>in some older patients cannot be ruled out</w:t>
      </w:r>
      <w:r>
        <w:rPr>
          <w:rFonts w:cs="Frutiger-Cn"/>
          <w:sz w:val="20"/>
          <w:szCs w:val="20"/>
        </w:rPr>
        <w:t>.</w:t>
      </w:r>
    </w:p>
    <w:p w14:paraId="570F1858" w14:textId="77777777" w:rsidR="001D0255" w:rsidRDefault="001D0255" w:rsidP="001D0255">
      <w:pPr>
        <w:jc w:val="both"/>
        <w:rPr>
          <w:b/>
          <w:sz w:val="20"/>
          <w:szCs w:val="20"/>
        </w:rPr>
      </w:pPr>
    </w:p>
    <w:p w14:paraId="7925CD7E" w14:textId="77777777" w:rsidR="001D0255" w:rsidRPr="00E814A6" w:rsidRDefault="001D0255" w:rsidP="001D0255">
      <w:pPr>
        <w:jc w:val="both"/>
        <w:rPr>
          <w:b/>
          <w:sz w:val="20"/>
          <w:szCs w:val="20"/>
        </w:rPr>
      </w:pPr>
      <w:r w:rsidRPr="00E814A6">
        <w:rPr>
          <w:b/>
          <w:sz w:val="20"/>
          <w:szCs w:val="20"/>
        </w:rPr>
        <w:t>OVERDOSAGE</w:t>
      </w:r>
    </w:p>
    <w:p w14:paraId="3A495FB2" w14:textId="77777777" w:rsidR="001D0255" w:rsidRPr="007E7D4F" w:rsidRDefault="001D0255" w:rsidP="001D0255">
      <w:pPr>
        <w:jc w:val="both"/>
        <w:rPr>
          <w:sz w:val="20"/>
          <w:szCs w:val="20"/>
        </w:rPr>
      </w:pPr>
      <w:r w:rsidRPr="00E814A6">
        <w:rPr>
          <w:sz w:val="20"/>
          <w:szCs w:val="20"/>
        </w:rPr>
        <w:t xml:space="preserve">In the event of an overdose, </w:t>
      </w:r>
      <w:r>
        <w:rPr>
          <w:sz w:val="20"/>
          <w:szCs w:val="20"/>
        </w:rPr>
        <w:t>serious adverse reactions</w:t>
      </w:r>
      <w:r w:rsidRPr="00E814A6">
        <w:rPr>
          <w:sz w:val="20"/>
          <w:szCs w:val="20"/>
        </w:rPr>
        <w:t xml:space="preserve"> may </w:t>
      </w:r>
      <w:r>
        <w:rPr>
          <w:sz w:val="20"/>
          <w:szCs w:val="20"/>
        </w:rPr>
        <w:t>result</w:t>
      </w:r>
      <w:r w:rsidRPr="00E814A6">
        <w:rPr>
          <w:sz w:val="20"/>
          <w:szCs w:val="20"/>
        </w:rPr>
        <w:t xml:space="preserve">. Stop the </w:t>
      </w:r>
      <w:r>
        <w:rPr>
          <w:sz w:val="20"/>
          <w:szCs w:val="20"/>
        </w:rPr>
        <w:t>SMOF</w:t>
      </w:r>
      <w:r w:rsidRPr="00E814A6">
        <w:rPr>
          <w:sz w:val="20"/>
          <w:szCs w:val="20"/>
        </w:rPr>
        <w:t>lipid infusion until triglyceride levels have normalized</w:t>
      </w:r>
      <w:r>
        <w:rPr>
          <w:sz w:val="20"/>
          <w:szCs w:val="20"/>
        </w:rPr>
        <w:t xml:space="preserve"> and symptoms have abated.</w:t>
      </w:r>
      <w:r w:rsidRPr="00E814A6">
        <w:rPr>
          <w:sz w:val="20"/>
          <w:szCs w:val="20"/>
        </w:rPr>
        <w:t xml:space="preserve">  The effects are usually reversible by stopping the lipid infusion. If medically appropriate, further intervention may be indicated. Lipids are not dialyzable from </w:t>
      </w:r>
      <w:r>
        <w:rPr>
          <w:sz w:val="20"/>
          <w:szCs w:val="20"/>
        </w:rPr>
        <w:t>plasma</w:t>
      </w:r>
      <w:r w:rsidRPr="00E814A6">
        <w:rPr>
          <w:sz w:val="20"/>
          <w:szCs w:val="20"/>
        </w:rPr>
        <w:t>.</w:t>
      </w:r>
    </w:p>
    <w:p w14:paraId="2BE9127F" w14:textId="77777777" w:rsidR="001D0255" w:rsidRDefault="001D0255" w:rsidP="001D0255">
      <w:pPr>
        <w:jc w:val="both"/>
        <w:rPr>
          <w:rFonts w:eastAsia="Times New Roman" w:cs="Times New Roman"/>
          <w:b/>
          <w:bCs/>
          <w:sz w:val="20"/>
          <w:szCs w:val="20"/>
        </w:rPr>
      </w:pPr>
    </w:p>
    <w:p w14:paraId="703FA164" w14:textId="77777777" w:rsidR="007D1C01" w:rsidRDefault="007D1C01" w:rsidP="002028C1">
      <w:pPr>
        <w:autoSpaceDE w:val="0"/>
        <w:autoSpaceDN w:val="0"/>
        <w:adjustRightInd w:val="0"/>
        <w:spacing w:after="360"/>
        <w:rPr>
          <w:color w:val="FF0000"/>
          <w:sz w:val="22"/>
          <w:szCs w:val="22"/>
        </w:rPr>
      </w:pPr>
    </w:p>
    <w:sectPr w:rsidR="007D1C01" w:rsidSect="007467F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Frutiger-BoldCn">
    <w:altName w:val="Calibri"/>
    <w:panose1 w:val="00000000000000000000"/>
    <w:charset w:val="00"/>
    <w:family w:val="auto"/>
    <w:notTrueType/>
    <w:pitch w:val="default"/>
    <w:sig w:usb0="00000003" w:usb1="00000000" w:usb2="00000000" w:usb3="00000000" w:csb0="00000001" w:csb1="00000000"/>
  </w:font>
  <w:font w:name="AntiqueOliveStd-Light">
    <w:altName w:val="Yu Gothic"/>
    <w:panose1 w:val="00000000000000000000"/>
    <w:charset w:val="80"/>
    <w:family w:val="swiss"/>
    <w:notTrueType/>
    <w:pitch w:val="default"/>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Frutiger-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779"/>
    <w:multiLevelType w:val="hybridMultilevel"/>
    <w:tmpl w:val="CA8E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04CE5"/>
    <w:multiLevelType w:val="multilevel"/>
    <w:tmpl w:val="6A781550"/>
    <w:lvl w:ilvl="0">
      <w:start w:val="1"/>
      <w:numFmt w:val="bullet"/>
      <w:lvlText w:val=""/>
      <w:lvlJc w:val="left"/>
      <w:pPr>
        <w:ind w:left="432" w:hanging="432"/>
      </w:pPr>
      <w:rPr>
        <w:rFonts w:ascii="Symbol" w:hAnsi="Symbol" w:hint="default"/>
      </w:rPr>
    </w:lvl>
    <w:lvl w:ilvl="1">
      <w:start w:val="1"/>
      <w:numFmt w:val="bullet"/>
      <w:lvlText w:val="o"/>
      <w:lvlJc w:val="left"/>
      <w:pPr>
        <w:ind w:left="1512" w:hanging="432"/>
      </w:pPr>
      <w:rPr>
        <w:rFonts w:ascii="Courier New" w:hAnsi="Courier New" w:cs="Courier New" w:hint="default"/>
      </w:rPr>
    </w:lvl>
    <w:lvl w:ilvl="2">
      <w:start w:val="1"/>
      <w:numFmt w:val="bullet"/>
      <w:lvlText w:val=""/>
      <w:lvlJc w:val="left"/>
      <w:pPr>
        <w:ind w:left="2592" w:hanging="432"/>
      </w:pPr>
      <w:rPr>
        <w:rFonts w:ascii="Wingdings" w:hAnsi="Wingdings" w:hint="default"/>
      </w:rPr>
    </w:lvl>
    <w:lvl w:ilvl="3">
      <w:start w:val="1"/>
      <w:numFmt w:val="bullet"/>
      <w:lvlText w:val=""/>
      <w:lvlJc w:val="left"/>
      <w:pPr>
        <w:ind w:left="3672" w:hanging="432"/>
      </w:pPr>
      <w:rPr>
        <w:rFonts w:ascii="Symbol" w:hAnsi="Symbol" w:hint="default"/>
      </w:rPr>
    </w:lvl>
    <w:lvl w:ilvl="4">
      <w:start w:val="1"/>
      <w:numFmt w:val="bullet"/>
      <w:lvlText w:val="o"/>
      <w:lvlJc w:val="left"/>
      <w:pPr>
        <w:ind w:left="4752" w:hanging="432"/>
      </w:pPr>
      <w:rPr>
        <w:rFonts w:ascii="Courier New" w:hAnsi="Courier New" w:cs="Courier New" w:hint="default"/>
      </w:rPr>
    </w:lvl>
    <w:lvl w:ilvl="5">
      <w:start w:val="1"/>
      <w:numFmt w:val="bullet"/>
      <w:lvlText w:val=""/>
      <w:lvlJc w:val="left"/>
      <w:pPr>
        <w:ind w:left="5832" w:hanging="432"/>
      </w:pPr>
      <w:rPr>
        <w:rFonts w:ascii="Wingdings" w:hAnsi="Wingdings" w:hint="default"/>
      </w:rPr>
    </w:lvl>
    <w:lvl w:ilvl="6">
      <w:start w:val="1"/>
      <w:numFmt w:val="bullet"/>
      <w:lvlText w:val=""/>
      <w:lvlJc w:val="left"/>
      <w:pPr>
        <w:ind w:left="6912" w:hanging="432"/>
      </w:pPr>
      <w:rPr>
        <w:rFonts w:ascii="Symbol" w:hAnsi="Symbol" w:hint="default"/>
      </w:rPr>
    </w:lvl>
    <w:lvl w:ilvl="7">
      <w:start w:val="1"/>
      <w:numFmt w:val="bullet"/>
      <w:lvlText w:val="o"/>
      <w:lvlJc w:val="left"/>
      <w:pPr>
        <w:ind w:left="7992" w:hanging="432"/>
      </w:pPr>
      <w:rPr>
        <w:rFonts w:ascii="Courier New" w:hAnsi="Courier New" w:cs="Courier New" w:hint="default"/>
      </w:rPr>
    </w:lvl>
    <w:lvl w:ilvl="8">
      <w:start w:val="1"/>
      <w:numFmt w:val="bullet"/>
      <w:lvlText w:val=""/>
      <w:lvlJc w:val="left"/>
      <w:pPr>
        <w:ind w:left="9072" w:hanging="432"/>
      </w:pPr>
      <w:rPr>
        <w:rFonts w:ascii="Wingdings" w:hAnsi="Wingdings" w:hint="default"/>
      </w:rPr>
    </w:lvl>
  </w:abstractNum>
  <w:abstractNum w:abstractNumId="2" w15:restartNumberingAfterBreak="0">
    <w:nsid w:val="1B606575"/>
    <w:multiLevelType w:val="hybridMultilevel"/>
    <w:tmpl w:val="F9E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25E4E"/>
    <w:multiLevelType w:val="multilevel"/>
    <w:tmpl w:val="6A781550"/>
    <w:lvl w:ilvl="0">
      <w:start w:val="1"/>
      <w:numFmt w:val="bullet"/>
      <w:lvlText w:val=""/>
      <w:lvlJc w:val="left"/>
      <w:pPr>
        <w:ind w:left="432" w:hanging="432"/>
      </w:pPr>
      <w:rPr>
        <w:rFonts w:ascii="Symbol" w:hAnsi="Symbol" w:hint="default"/>
      </w:rPr>
    </w:lvl>
    <w:lvl w:ilvl="1">
      <w:start w:val="1"/>
      <w:numFmt w:val="bullet"/>
      <w:lvlText w:val="o"/>
      <w:lvlJc w:val="left"/>
      <w:pPr>
        <w:ind w:left="1512" w:hanging="432"/>
      </w:pPr>
      <w:rPr>
        <w:rFonts w:ascii="Courier New" w:hAnsi="Courier New" w:cs="Courier New" w:hint="default"/>
      </w:rPr>
    </w:lvl>
    <w:lvl w:ilvl="2">
      <w:start w:val="1"/>
      <w:numFmt w:val="bullet"/>
      <w:lvlText w:val=""/>
      <w:lvlJc w:val="left"/>
      <w:pPr>
        <w:ind w:left="2592" w:hanging="432"/>
      </w:pPr>
      <w:rPr>
        <w:rFonts w:ascii="Wingdings" w:hAnsi="Wingdings" w:hint="default"/>
      </w:rPr>
    </w:lvl>
    <w:lvl w:ilvl="3">
      <w:start w:val="1"/>
      <w:numFmt w:val="bullet"/>
      <w:lvlText w:val=""/>
      <w:lvlJc w:val="left"/>
      <w:pPr>
        <w:ind w:left="3672" w:hanging="432"/>
      </w:pPr>
      <w:rPr>
        <w:rFonts w:ascii="Symbol" w:hAnsi="Symbol" w:hint="default"/>
      </w:rPr>
    </w:lvl>
    <w:lvl w:ilvl="4">
      <w:start w:val="1"/>
      <w:numFmt w:val="bullet"/>
      <w:lvlText w:val="o"/>
      <w:lvlJc w:val="left"/>
      <w:pPr>
        <w:ind w:left="4752" w:hanging="432"/>
      </w:pPr>
      <w:rPr>
        <w:rFonts w:ascii="Courier New" w:hAnsi="Courier New" w:cs="Courier New" w:hint="default"/>
      </w:rPr>
    </w:lvl>
    <w:lvl w:ilvl="5">
      <w:start w:val="1"/>
      <w:numFmt w:val="bullet"/>
      <w:lvlText w:val=""/>
      <w:lvlJc w:val="left"/>
      <w:pPr>
        <w:ind w:left="5832" w:hanging="432"/>
      </w:pPr>
      <w:rPr>
        <w:rFonts w:ascii="Wingdings" w:hAnsi="Wingdings" w:hint="default"/>
      </w:rPr>
    </w:lvl>
    <w:lvl w:ilvl="6">
      <w:start w:val="1"/>
      <w:numFmt w:val="bullet"/>
      <w:lvlText w:val=""/>
      <w:lvlJc w:val="left"/>
      <w:pPr>
        <w:ind w:left="6912" w:hanging="432"/>
      </w:pPr>
      <w:rPr>
        <w:rFonts w:ascii="Symbol" w:hAnsi="Symbol" w:hint="default"/>
      </w:rPr>
    </w:lvl>
    <w:lvl w:ilvl="7">
      <w:start w:val="1"/>
      <w:numFmt w:val="bullet"/>
      <w:lvlText w:val="o"/>
      <w:lvlJc w:val="left"/>
      <w:pPr>
        <w:ind w:left="7992" w:hanging="432"/>
      </w:pPr>
      <w:rPr>
        <w:rFonts w:ascii="Courier New" w:hAnsi="Courier New" w:cs="Courier New" w:hint="default"/>
      </w:rPr>
    </w:lvl>
    <w:lvl w:ilvl="8">
      <w:start w:val="1"/>
      <w:numFmt w:val="bullet"/>
      <w:lvlText w:val=""/>
      <w:lvlJc w:val="left"/>
      <w:pPr>
        <w:ind w:left="9072" w:hanging="432"/>
      </w:pPr>
      <w:rPr>
        <w:rFonts w:ascii="Wingdings" w:hAnsi="Wingdings" w:hint="default"/>
      </w:rPr>
    </w:lvl>
  </w:abstractNum>
  <w:abstractNum w:abstractNumId="4" w15:restartNumberingAfterBreak="0">
    <w:nsid w:val="427E10F7"/>
    <w:multiLevelType w:val="multilevel"/>
    <w:tmpl w:val="5F7C7CC2"/>
    <w:lvl w:ilvl="0">
      <w:start w:val="2"/>
      <w:numFmt w:val="decimal"/>
      <w:lvlText w:val="%1"/>
      <w:lvlJc w:val="left"/>
      <w:pPr>
        <w:ind w:left="360" w:hanging="360"/>
      </w:pPr>
      <w:rPr>
        <w:rFonts w:hint="default"/>
      </w:rPr>
    </w:lvl>
    <w:lvl w:ilvl="1">
      <w:start w:val="1"/>
      <w:numFmt w:val="decimal"/>
      <w:pStyle w:val="FPIHeading2"/>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CA45562"/>
    <w:multiLevelType w:val="hybridMultilevel"/>
    <w:tmpl w:val="B0F6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574BE"/>
    <w:multiLevelType w:val="hybridMultilevel"/>
    <w:tmpl w:val="E2F4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C2024"/>
    <w:multiLevelType w:val="hybridMultilevel"/>
    <w:tmpl w:val="2C02AA34"/>
    <w:lvl w:ilvl="0" w:tplc="2ABA954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F5146"/>
    <w:multiLevelType w:val="hybridMultilevel"/>
    <w:tmpl w:val="64F2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C7CAA"/>
    <w:multiLevelType w:val="hybridMultilevel"/>
    <w:tmpl w:val="A8F8D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2"/>
  </w:num>
  <w:num w:numId="6">
    <w:abstractNumId w:val="8"/>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F6"/>
    <w:rsid w:val="000164E2"/>
    <w:rsid w:val="00027CAF"/>
    <w:rsid w:val="000426BD"/>
    <w:rsid w:val="000B0B87"/>
    <w:rsid w:val="000E78B5"/>
    <w:rsid w:val="00103922"/>
    <w:rsid w:val="0011657D"/>
    <w:rsid w:val="001D0255"/>
    <w:rsid w:val="00202696"/>
    <w:rsid w:val="002028C1"/>
    <w:rsid w:val="00235F8C"/>
    <w:rsid w:val="002874F5"/>
    <w:rsid w:val="0030410C"/>
    <w:rsid w:val="00340F48"/>
    <w:rsid w:val="003435CE"/>
    <w:rsid w:val="0035163E"/>
    <w:rsid w:val="00364FDF"/>
    <w:rsid w:val="003F1D52"/>
    <w:rsid w:val="00417AD6"/>
    <w:rsid w:val="00496C57"/>
    <w:rsid w:val="0049789F"/>
    <w:rsid w:val="0056009F"/>
    <w:rsid w:val="00562544"/>
    <w:rsid w:val="005B6421"/>
    <w:rsid w:val="006165EB"/>
    <w:rsid w:val="00636AB1"/>
    <w:rsid w:val="00647F7B"/>
    <w:rsid w:val="006636B8"/>
    <w:rsid w:val="00670462"/>
    <w:rsid w:val="00696B70"/>
    <w:rsid w:val="006B0ED7"/>
    <w:rsid w:val="006B5A03"/>
    <w:rsid w:val="006E53DE"/>
    <w:rsid w:val="007351F4"/>
    <w:rsid w:val="0074263C"/>
    <w:rsid w:val="007467F6"/>
    <w:rsid w:val="007D1C01"/>
    <w:rsid w:val="00876422"/>
    <w:rsid w:val="0087772C"/>
    <w:rsid w:val="008828A3"/>
    <w:rsid w:val="008B1CD2"/>
    <w:rsid w:val="00907FC7"/>
    <w:rsid w:val="00920E2D"/>
    <w:rsid w:val="00966DD5"/>
    <w:rsid w:val="009D3680"/>
    <w:rsid w:val="009E10EF"/>
    <w:rsid w:val="00A02143"/>
    <w:rsid w:val="00A84410"/>
    <w:rsid w:val="00A96DC7"/>
    <w:rsid w:val="00AA016A"/>
    <w:rsid w:val="00AC5134"/>
    <w:rsid w:val="00B20ADB"/>
    <w:rsid w:val="00B52823"/>
    <w:rsid w:val="00BB0A69"/>
    <w:rsid w:val="00BC0508"/>
    <w:rsid w:val="00BF3725"/>
    <w:rsid w:val="00C05C0E"/>
    <w:rsid w:val="00C16BC1"/>
    <w:rsid w:val="00C465BD"/>
    <w:rsid w:val="00C6711D"/>
    <w:rsid w:val="00CE784E"/>
    <w:rsid w:val="00D644DF"/>
    <w:rsid w:val="00DA071E"/>
    <w:rsid w:val="00DA4ACE"/>
    <w:rsid w:val="00DD3C8F"/>
    <w:rsid w:val="00DE2F34"/>
    <w:rsid w:val="00DE43BA"/>
    <w:rsid w:val="00E419B9"/>
    <w:rsid w:val="00E45399"/>
    <w:rsid w:val="00EA0AF8"/>
    <w:rsid w:val="00ED7E1A"/>
    <w:rsid w:val="00F04A8F"/>
    <w:rsid w:val="00F14736"/>
    <w:rsid w:val="00F1698D"/>
    <w:rsid w:val="00F22376"/>
    <w:rsid w:val="00F82495"/>
    <w:rsid w:val="00FB3873"/>
    <w:rsid w:val="00FE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1940"/>
  <w15:docId w15:val="{E83DBAA0-64F4-41D6-80C1-2D154A95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B5A03"/>
    <w:rPr>
      <w:rFonts w:ascii="Helvetica" w:hAnsi="Helvetica" w:cs="Times New Roman"/>
      <w:color w:val="FF0000"/>
      <w:sz w:val="9"/>
      <w:szCs w:val="9"/>
    </w:rPr>
  </w:style>
  <w:style w:type="character" w:styleId="CommentReference">
    <w:name w:val="annotation reference"/>
    <w:basedOn w:val="DefaultParagraphFont"/>
    <w:uiPriority w:val="99"/>
    <w:semiHidden/>
    <w:unhideWhenUsed/>
    <w:rsid w:val="00DA071E"/>
    <w:rPr>
      <w:sz w:val="16"/>
      <w:szCs w:val="16"/>
    </w:rPr>
  </w:style>
  <w:style w:type="paragraph" w:styleId="CommentText">
    <w:name w:val="annotation text"/>
    <w:basedOn w:val="Normal"/>
    <w:link w:val="CommentTextChar"/>
    <w:uiPriority w:val="99"/>
    <w:semiHidden/>
    <w:unhideWhenUsed/>
    <w:rsid w:val="00DA071E"/>
    <w:rPr>
      <w:sz w:val="20"/>
      <w:szCs w:val="20"/>
    </w:rPr>
  </w:style>
  <w:style w:type="character" w:customStyle="1" w:styleId="CommentTextChar">
    <w:name w:val="Comment Text Char"/>
    <w:basedOn w:val="DefaultParagraphFont"/>
    <w:link w:val="CommentText"/>
    <w:uiPriority w:val="99"/>
    <w:semiHidden/>
    <w:rsid w:val="00DA071E"/>
    <w:rPr>
      <w:sz w:val="20"/>
      <w:szCs w:val="20"/>
    </w:rPr>
  </w:style>
  <w:style w:type="paragraph" w:styleId="CommentSubject">
    <w:name w:val="annotation subject"/>
    <w:basedOn w:val="CommentText"/>
    <w:next w:val="CommentText"/>
    <w:link w:val="CommentSubjectChar"/>
    <w:uiPriority w:val="99"/>
    <w:semiHidden/>
    <w:unhideWhenUsed/>
    <w:rsid w:val="00DA071E"/>
    <w:rPr>
      <w:b/>
      <w:bCs/>
    </w:rPr>
  </w:style>
  <w:style w:type="character" w:customStyle="1" w:styleId="CommentSubjectChar">
    <w:name w:val="Comment Subject Char"/>
    <w:basedOn w:val="CommentTextChar"/>
    <w:link w:val="CommentSubject"/>
    <w:uiPriority w:val="99"/>
    <w:semiHidden/>
    <w:rsid w:val="00DA071E"/>
    <w:rPr>
      <w:b/>
      <w:bCs/>
      <w:sz w:val="20"/>
      <w:szCs w:val="20"/>
    </w:rPr>
  </w:style>
  <w:style w:type="paragraph" w:styleId="Revision">
    <w:name w:val="Revision"/>
    <w:hidden/>
    <w:uiPriority w:val="99"/>
    <w:semiHidden/>
    <w:rsid w:val="00DA071E"/>
  </w:style>
  <w:style w:type="paragraph" w:styleId="BalloonText">
    <w:name w:val="Balloon Text"/>
    <w:basedOn w:val="Normal"/>
    <w:link w:val="BalloonTextChar"/>
    <w:uiPriority w:val="99"/>
    <w:semiHidden/>
    <w:unhideWhenUsed/>
    <w:rsid w:val="00DA071E"/>
    <w:rPr>
      <w:rFonts w:ascii="Tahoma" w:hAnsi="Tahoma" w:cs="Tahoma"/>
      <w:sz w:val="16"/>
      <w:szCs w:val="16"/>
    </w:rPr>
  </w:style>
  <w:style w:type="character" w:customStyle="1" w:styleId="BalloonTextChar">
    <w:name w:val="Balloon Text Char"/>
    <w:basedOn w:val="DefaultParagraphFont"/>
    <w:link w:val="BalloonText"/>
    <w:uiPriority w:val="99"/>
    <w:semiHidden/>
    <w:rsid w:val="00DA071E"/>
    <w:rPr>
      <w:rFonts w:ascii="Tahoma" w:hAnsi="Tahoma" w:cs="Tahoma"/>
      <w:sz w:val="16"/>
      <w:szCs w:val="16"/>
    </w:rPr>
  </w:style>
  <w:style w:type="paragraph" w:styleId="ListParagraph">
    <w:name w:val="List Paragraph"/>
    <w:basedOn w:val="Normal"/>
    <w:uiPriority w:val="34"/>
    <w:qFormat/>
    <w:rsid w:val="00F22376"/>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rsid w:val="00F2237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2376"/>
    <w:rPr>
      <w:color w:val="0000FF"/>
      <w:u w:val="single"/>
    </w:rPr>
  </w:style>
  <w:style w:type="character" w:styleId="UnresolvedMention">
    <w:name w:val="Unresolved Mention"/>
    <w:basedOn w:val="DefaultParagraphFont"/>
    <w:uiPriority w:val="99"/>
    <w:semiHidden/>
    <w:unhideWhenUsed/>
    <w:rsid w:val="003435CE"/>
    <w:rPr>
      <w:color w:val="605E5C"/>
      <w:shd w:val="clear" w:color="auto" w:fill="E1DFDD"/>
    </w:rPr>
  </w:style>
  <w:style w:type="paragraph" w:styleId="FootnoteText">
    <w:name w:val="footnote text"/>
    <w:basedOn w:val="Normal"/>
    <w:link w:val="FootnoteTextChar"/>
    <w:uiPriority w:val="99"/>
    <w:unhideWhenUsed/>
    <w:rsid w:val="001D0255"/>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1D0255"/>
    <w:rPr>
      <w:rFonts w:asciiTheme="minorHAnsi" w:hAnsiTheme="minorHAnsi" w:cstheme="minorBidi"/>
      <w:sz w:val="20"/>
      <w:szCs w:val="20"/>
    </w:rPr>
  </w:style>
  <w:style w:type="paragraph" w:customStyle="1" w:styleId="FPIBodyText">
    <w:name w:val="FPI Body Text"/>
    <w:basedOn w:val="Normal"/>
    <w:link w:val="FPIBodyTextChar"/>
    <w:qFormat/>
    <w:rsid w:val="001D0255"/>
    <w:rPr>
      <w:rFonts w:ascii="Times New Roman" w:eastAsia="Times New Roman" w:hAnsi="Times New Roman" w:cs="Times New Roman"/>
    </w:rPr>
  </w:style>
  <w:style w:type="paragraph" w:customStyle="1" w:styleId="FPIHeading2">
    <w:name w:val="FPI Heading 2"/>
    <w:basedOn w:val="Normal"/>
    <w:qFormat/>
    <w:rsid w:val="001D0255"/>
    <w:pPr>
      <w:keepNext/>
      <w:keepLines/>
      <w:numPr>
        <w:ilvl w:val="1"/>
        <w:numId w:val="7"/>
      </w:numPr>
      <w:autoSpaceDE w:val="0"/>
      <w:autoSpaceDN w:val="0"/>
      <w:adjustRightInd w:val="0"/>
      <w:spacing w:before="240" w:line="360" w:lineRule="auto"/>
      <w:outlineLvl w:val="1"/>
    </w:pPr>
    <w:rPr>
      <w:rFonts w:ascii="Times New Roman Bold" w:eastAsia="Times New Roman" w:hAnsi="Times New Roman Bold" w:cs="Times New Roman"/>
      <w:bCs/>
    </w:rPr>
  </w:style>
  <w:style w:type="character" w:customStyle="1" w:styleId="FPIBodyTextChar">
    <w:name w:val="FPI Body Text Char"/>
    <w:basedOn w:val="DefaultParagraphFont"/>
    <w:link w:val="FPIBodyText"/>
    <w:rsid w:val="001D02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633">
      <w:bodyDiv w:val="1"/>
      <w:marLeft w:val="0"/>
      <w:marRight w:val="0"/>
      <w:marTop w:val="0"/>
      <w:marBottom w:val="0"/>
      <w:divBdr>
        <w:top w:val="none" w:sz="0" w:space="0" w:color="auto"/>
        <w:left w:val="none" w:sz="0" w:space="0" w:color="auto"/>
        <w:bottom w:val="none" w:sz="0" w:space="0" w:color="auto"/>
        <w:right w:val="none" w:sz="0" w:space="0" w:color="auto"/>
      </w:divBdr>
    </w:div>
    <w:div w:id="651982034">
      <w:bodyDiv w:val="1"/>
      <w:marLeft w:val="0"/>
      <w:marRight w:val="0"/>
      <w:marTop w:val="0"/>
      <w:marBottom w:val="0"/>
      <w:divBdr>
        <w:top w:val="none" w:sz="0" w:space="0" w:color="auto"/>
        <w:left w:val="none" w:sz="0" w:space="0" w:color="auto"/>
        <w:bottom w:val="none" w:sz="0" w:space="0" w:color="auto"/>
        <w:right w:val="none" w:sz="0" w:space="0" w:color="auto"/>
      </w:divBdr>
    </w:div>
    <w:div w:id="909269358">
      <w:bodyDiv w:val="1"/>
      <w:marLeft w:val="0"/>
      <w:marRight w:val="0"/>
      <w:marTop w:val="0"/>
      <w:marBottom w:val="0"/>
      <w:divBdr>
        <w:top w:val="none" w:sz="0" w:space="0" w:color="auto"/>
        <w:left w:val="none" w:sz="0" w:space="0" w:color="auto"/>
        <w:bottom w:val="none" w:sz="0" w:space="0" w:color="auto"/>
        <w:right w:val="none" w:sz="0" w:space="0" w:color="auto"/>
      </w:divBdr>
    </w:div>
    <w:div w:id="1397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seniusKabiNutri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2855</Words>
  <Characters>16277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KabiCare Nutrition Resources</dc:creator>
  <cp:lastModifiedBy>Tami Novy</cp:lastModifiedBy>
  <cp:revision>2</cp:revision>
  <dcterms:created xsi:type="dcterms:W3CDTF">2023-07-13T16:38:00Z</dcterms:created>
  <dcterms:modified xsi:type="dcterms:W3CDTF">2023-07-13T16:38:00Z</dcterms:modified>
</cp:coreProperties>
</file>